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8B" w:rsidRDefault="009D0785" w:rsidP="007D7A8B">
      <w:pPr>
        <w:autoSpaceDE w:val="0"/>
        <w:autoSpaceDN w:val="0"/>
        <w:adjustRightInd w:val="0"/>
        <w:jc w:val="right"/>
        <w:outlineLvl w:val="1"/>
      </w:pPr>
      <w:r>
        <w:t>Приложение №</w:t>
      </w:r>
      <w:r w:rsidRPr="0039647F">
        <w:t xml:space="preserve"> </w:t>
      </w:r>
      <w:r>
        <w:t>1</w:t>
      </w:r>
      <w:r w:rsidR="007D7A8B">
        <w:t xml:space="preserve"> к распоряжению</w:t>
      </w:r>
    </w:p>
    <w:p w:rsidR="007D7A8B" w:rsidRDefault="009D0785" w:rsidP="007D7A8B">
      <w:pPr>
        <w:autoSpaceDE w:val="0"/>
        <w:autoSpaceDN w:val="0"/>
        <w:adjustRightInd w:val="0"/>
        <w:jc w:val="right"/>
        <w:outlineLvl w:val="1"/>
      </w:pPr>
      <w:r>
        <w:t>Администрации</w:t>
      </w:r>
      <w:r w:rsidR="007D7A8B">
        <w:t xml:space="preserve"> городского округа</w:t>
      </w:r>
    </w:p>
    <w:p w:rsidR="009D0785" w:rsidRDefault="007D7A8B" w:rsidP="007D7A8B">
      <w:pPr>
        <w:autoSpaceDE w:val="0"/>
        <w:autoSpaceDN w:val="0"/>
        <w:adjustRightInd w:val="0"/>
        <w:jc w:val="right"/>
        <w:outlineLvl w:val="1"/>
      </w:pPr>
      <w:r>
        <w:t>Электросталь</w:t>
      </w:r>
      <w:r w:rsidR="009D0785">
        <w:t xml:space="preserve"> Московской области</w:t>
      </w:r>
    </w:p>
    <w:p w:rsidR="007D7A8B" w:rsidRPr="00E44F22" w:rsidRDefault="007D7A8B" w:rsidP="007D7A8B">
      <w:pPr>
        <w:jc w:val="right"/>
      </w:pPr>
      <w:r>
        <w:t xml:space="preserve">От </w:t>
      </w:r>
      <w:r w:rsidRPr="00E44F22">
        <w:rPr>
          <w:u w:val="single"/>
        </w:rPr>
        <w:t xml:space="preserve">     18.10.2011     </w:t>
      </w:r>
      <w:r>
        <w:t xml:space="preserve"> № </w:t>
      </w:r>
      <w:r w:rsidRPr="00E44F22">
        <w:rPr>
          <w:u w:val="single"/>
        </w:rPr>
        <w:t xml:space="preserve">     572-р</w:t>
      </w:r>
      <w:r w:rsidRPr="00E44F22">
        <w:rPr>
          <w:u w:val="single"/>
        </w:rPr>
        <w:tab/>
      </w:r>
    </w:p>
    <w:p w:rsidR="009D0785" w:rsidRPr="0039647F" w:rsidRDefault="009D0785" w:rsidP="007D7A8B">
      <w:pPr>
        <w:jc w:val="center"/>
        <w:rPr>
          <w:b/>
        </w:rPr>
      </w:pPr>
    </w:p>
    <w:p w:rsidR="009D0785" w:rsidRPr="0039647F" w:rsidRDefault="009D0785" w:rsidP="007D7A8B">
      <w:pPr>
        <w:jc w:val="center"/>
        <w:rPr>
          <w:b/>
        </w:rPr>
      </w:pPr>
      <w:r w:rsidRPr="0039647F">
        <w:rPr>
          <w:b/>
        </w:rPr>
        <w:t>Информационное извещение о проведении конкурса</w:t>
      </w:r>
    </w:p>
    <w:p w:rsidR="009D0785" w:rsidRPr="0039647F" w:rsidRDefault="009D0785" w:rsidP="007D7A8B">
      <w:pPr>
        <w:pStyle w:val="a4"/>
        <w:ind w:firstLine="708"/>
      </w:pPr>
      <w:r w:rsidRPr="0039647F">
        <w:t>Организатор конкурса – Администрация городского округа Электросталь Московской области. Почтовый адрес:</w:t>
      </w:r>
      <w:r w:rsidR="007D7A8B">
        <w:t xml:space="preserve"> </w:t>
      </w:r>
      <w:r w:rsidRPr="0039647F">
        <w:t>144003 Московс</w:t>
      </w:r>
      <w:r w:rsidR="007D7A8B">
        <w:t>кая область город Электросталь.</w:t>
      </w:r>
    </w:p>
    <w:p w:rsidR="009D0785" w:rsidRPr="0039647F" w:rsidRDefault="009D0785" w:rsidP="007D7A8B">
      <w:pPr>
        <w:pStyle w:val="a4"/>
        <w:ind w:firstLine="816"/>
      </w:pPr>
      <w:r w:rsidRPr="0039647F">
        <w:rPr>
          <w:b/>
        </w:rPr>
        <w:t>14</w:t>
      </w:r>
      <w:r w:rsidR="007D7A8B">
        <w:rPr>
          <w:b/>
        </w:rPr>
        <w:t xml:space="preserve"> декабря </w:t>
      </w:r>
      <w:r w:rsidRPr="0039647F">
        <w:rPr>
          <w:b/>
        </w:rPr>
        <w:t>2011 года</w:t>
      </w:r>
      <w:r w:rsidRPr="0039647F">
        <w:t xml:space="preserve"> в 10 часов 00 мин  по адресу: </w:t>
      </w:r>
      <w:proofErr w:type="gramStart"/>
      <w:r w:rsidRPr="0039647F">
        <w:t>г</w:t>
      </w:r>
      <w:proofErr w:type="gramEnd"/>
      <w:r w:rsidRPr="0039647F">
        <w:t>. Электросталь, ул. Мира д. 5,  комната 215 проводится конкурс на право заключения договора на выполнение пассажирских перевозок по маршруту (маршрутам) регулярных перевозок по нерегулируемым тарифам, проходящим по территории городского округа Электросталь Московской области.</w:t>
      </w:r>
    </w:p>
    <w:p w:rsidR="009D0785" w:rsidRPr="007D7A8B" w:rsidRDefault="009D0785" w:rsidP="007D7A8B">
      <w:pPr>
        <w:pStyle w:val="a4"/>
        <w:ind w:firstLine="816"/>
        <w:rPr>
          <w:b/>
        </w:rPr>
      </w:pPr>
      <w:r w:rsidRPr="0039647F">
        <w:t>Положение о проведении конкурса, конкурсного производства и перечень необходимых документов для участия в нём размещен на сайте города</w:t>
      </w:r>
      <w:r w:rsidRPr="007D7A8B">
        <w:t xml:space="preserve">: </w:t>
      </w:r>
      <w:hyperlink r:id="rId4" w:history="1">
        <w:r w:rsidRPr="007D7A8B">
          <w:rPr>
            <w:rStyle w:val="a3"/>
          </w:rPr>
          <w:t>www.</w:t>
        </w:r>
        <w:r w:rsidRPr="007D7A8B">
          <w:rPr>
            <w:rStyle w:val="a3"/>
            <w:lang w:val="en-US"/>
          </w:rPr>
          <w:t>electrostal</w:t>
        </w:r>
        <w:r w:rsidRPr="007D7A8B">
          <w:rPr>
            <w:rStyle w:val="a3"/>
          </w:rPr>
          <w:t>.</w:t>
        </w:r>
        <w:proofErr w:type="spellStart"/>
        <w:r w:rsidRPr="007D7A8B">
          <w:rPr>
            <w:rStyle w:val="a3"/>
          </w:rPr>
          <w:t>ru</w:t>
        </w:r>
        <w:proofErr w:type="spellEnd"/>
      </w:hyperlink>
      <w:r w:rsidRPr="007D7A8B">
        <w:t>.</w:t>
      </w:r>
      <w:r w:rsidRPr="007D7A8B">
        <w:rPr>
          <w:b/>
        </w:rPr>
        <w:t xml:space="preserve"> </w:t>
      </w:r>
    </w:p>
    <w:p w:rsidR="009D0785" w:rsidRPr="0039647F" w:rsidRDefault="009D0785" w:rsidP="007D7A8B">
      <w:pPr>
        <w:pStyle w:val="a4"/>
        <w:ind w:firstLine="816"/>
      </w:pPr>
      <w:proofErr w:type="gramStart"/>
      <w:r w:rsidRPr="0039647F">
        <w:t xml:space="preserve">Прием заявок и документов на участие в конкурсе производится с 3 ноября </w:t>
      </w:r>
      <w:smartTag w:uri="urn:schemas-microsoft-com:office:smarttags" w:element="metricconverter">
        <w:smartTagPr>
          <w:attr w:name="ProductID" w:val="2011 г"/>
        </w:smartTagPr>
        <w:r w:rsidRPr="0039647F">
          <w:t>2011 г</w:t>
        </w:r>
      </w:smartTag>
      <w:r w:rsidRPr="0039647F">
        <w:t xml:space="preserve">. до 12.30 6 декабря </w:t>
      </w:r>
      <w:smartTag w:uri="urn:schemas-microsoft-com:office:smarttags" w:element="metricconverter">
        <w:smartTagPr>
          <w:attr w:name="ProductID" w:val="2011 г"/>
        </w:smartTagPr>
        <w:r w:rsidRPr="0039647F">
          <w:t>2011 г</w:t>
        </w:r>
      </w:smartTag>
      <w:r w:rsidRPr="0039647F">
        <w:t xml:space="preserve">. по адресу: г. Электросталь, ул. Мира, д. 5, </w:t>
      </w:r>
      <w:r>
        <w:t xml:space="preserve">2 этаж, </w:t>
      </w:r>
      <w:r w:rsidRPr="0039647F">
        <w:t>кабинет 204 по рабочим дням с 9 до 12 часов 30 минут и с 14 часов  до 17. часов 30 минут (в пятницу – до 16 часов), тел./факс для справок</w:t>
      </w:r>
      <w:proofErr w:type="gramEnd"/>
      <w:r w:rsidRPr="0039647F">
        <w:t xml:space="preserve"> (496)-57-1</w:t>
      </w:r>
      <w:r w:rsidR="007D7A8B">
        <w:t>-99-72,  факс (496)-57-1-99-73.</w:t>
      </w:r>
    </w:p>
    <w:p w:rsidR="009D0785" w:rsidRPr="0039647F" w:rsidRDefault="009D0785" w:rsidP="007D7A8B">
      <w:pPr>
        <w:pStyle w:val="a4"/>
        <w:ind w:firstLine="816"/>
      </w:pPr>
      <w:r w:rsidRPr="0039647F">
        <w:t xml:space="preserve">С паспортами маршрутов и расписаниями движения транспортных средств претендент может ознакомиться по рабочим дням с 10 до 12 часов 30 минут и с 14 часов до 17 часов (в пятницу – до 16 часов) по адресу </w:t>
      </w:r>
      <w:proofErr w:type="gramStart"/>
      <w:r w:rsidRPr="0039647F">
        <w:t>г</w:t>
      </w:r>
      <w:proofErr w:type="gramEnd"/>
      <w:r w:rsidRPr="0039647F">
        <w:t>. Электросталь, ул.</w:t>
      </w:r>
      <w:r>
        <w:t xml:space="preserve"> </w:t>
      </w:r>
      <w:r w:rsidR="007D7A8B">
        <w:t xml:space="preserve">Мира, д. 5. тел./факс для справок </w:t>
      </w:r>
      <w:r w:rsidRPr="0039647F">
        <w:t>(496)-57-</w:t>
      </w:r>
      <w:r w:rsidR="007D7A8B">
        <w:t>1-99-72, факс (496)-57-1-99-73.</w:t>
      </w:r>
    </w:p>
    <w:p w:rsidR="009D0785" w:rsidRPr="0039647F" w:rsidRDefault="009D0785" w:rsidP="007D7A8B">
      <w:pPr>
        <w:pStyle w:val="a4"/>
        <w:ind w:firstLine="816"/>
      </w:pPr>
      <w:r w:rsidRPr="0039647F">
        <w:t xml:space="preserve">Вскрытие конвертов с заявками и конкурсной документацией проводится </w:t>
      </w:r>
      <w:r w:rsidRPr="00E07E14">
        <w:rPr>
          <w:b/>
        </w:rPr>
        <w:t>6</w:t>
      </w:r>
      <w:r w:rsidRPr="0039647F">
        <w:rPr>
          <w:b/>
        </w:rPr>
        <w:t xml:space="preserve"> декабря </w:t>
      </w:r>
      <w:smartTag w:uri="urn:schemas-microsoft-com:office:smarttags" w:element="metricconverter">
        <w:smartTagPr>
          <w:attr w:name="ProductID" w:val="2011 г"/>
        </w:smartTagPr>
        <w:r w:rsidRPr="0039647F">
          <w:rPr>
            <w:b/>
          </w:rPr>
          <w:t>2011 г</w:t>
        </w:r>
      </w:smartTag>
      <w:r w:rsidRPr="0039647F">
        <w:rPr>
          <w:b/>
        </w:rPr>
        <w:t>. в 14 часов 30 мин.</w:t>
      </w:r>
      <w:r w:rsidRPr="0039647F">
        <w:t xml:space="preserve"> по адресу:</w:t>
      </w:r>
      <w:r w:rsidR="007D7A8B">
        <w:t xml:space="preserve"> </w:t>
      </w:r>
      <w:r w:rsidRPr="0039647F">
        <w:t>г. Электросталь, ул. Мира, д. 5, кабинет 215.</w:t>
      </w:r>
    </w:p>
    <w:p w:rsidR="009D0785" w:rsidRPr="0039647F" w:rsidRDefault="009D0785" w:rsidP="009D0785">
      <w:pPr>
        <w:pStyle w:val="a4"/>
        <w:ind w:firstLine="540"/>
        <w:rPr>
          <w:b/>
        </w:rPr>
      </w:pPr>
      <w:r w:rsidRPr="0039647F">
        <w:rPr>
          <w:b/>
        </w:rPr>
        <w:t>Конкурсные предложения:</w:t>
      </w: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1147"/>
        <w:gridCol w:w="1147"/>
        <w:gridCol w:w="1590"/>
        <w:gridCol w:w="1682"/>
        <w:gridCol w:w="1269"/>
        <w:gridCol w:w="1147"/>
        <w:gridCol w:w="1610"/>
        <w:gridCol w:w="1666"/>
        <w:gridCol w:w="1158"/>
        <w:gridCol w:w="1455"/>
      </w:tblGrid>
      <w:tr w:rsidR="009D0785" w:rsidRPr="00761D83" w:rsidTr="00CD23CD">
        <w:tc>
          <w:tcPr>
            <w:tcW w:w="1460" w:type="dxa"/>
          </w:tcPr>
          <w:p w:rsidR="009D0785" w:rsidRPr="00761D83" w:rsidRDefault="009D0785" w:rsidP="00CD23CD">
            <w:pPr>
              <w:rPr>
                <w:sz w:val="22"/>
                <w:szCs w:val="22"/>
              </w:rPr>
            </w:pPr>
            <w:r w:rsidRPr="00761D83">
              <w:rPr>
                <w:sz w:val="22"/>
                <w:szCs w:val="22"/>
              </w:rPr>
              <w:t>№ конкурсного предложения</w:t>
            </w:r>
          </w:p>
        </w:tc>
        <w:tc>
          <w:tcPr>
            <w:tcW w:w="1147" w:type="dxa"/>
          </w:tcPr>
          <w:p w:rsidR="009D0785" w:rsidRPr="00761D83" w:rsidRDefault="009D0785" w:rsidP="00CD23CD">
            <w:pPr>
              <w:rPr>
                <w:sz w:val="22"/>
                <w:szCs w:val="22"/>
              </w:rPr>
            </w:pPr>
            <w:proofErr w:type="spellStart"/>
            <w:r w:rsidRPr="00761D83">
              <w:rPr>
                <w:sz w:val="22"/>
                <w:szCs w:val="22"/>
              </w:rPr>
              <w:t>Рег</w:t>
            </w:r>
            <w:proofErr w:type="spellEnd"/>
            <w:r w:rsidRPr="00761D83">
              <w:rPr>
                <w:sz w:val="22"/>
                <w:szCs w:val="22"/>
              </w:rPr>
              <w:t>. Номер маршрута</w:t>
            </w:r>
          </w:p>
        </w:tc>
        <w:tc>
          <w:tcPr>
            <w:tcW w:w="1147" w:type="dxa"/>
          </w:tcPr>
          <w:p w:rsidR="009D0785" w:rsidRPr="00761D83" w:rsidRDefault="009D0785" w:rsidP="00CD23CD">
            <w:pPr>
              <w:rPr>
                <w:sz w:val="22"/>
                <w:szCs w:val="22"/>
              </w:rPr>
            </w:pPr>
            <w:r w:rsidRPr="00761D83">
              <w:rPr>
                <w:sz w:val="22"/>
                <w:szCs w:val="22"/>
              </w:rPr>
              <w:t>Номер маршрута</w:t>
            </w:r>
          </w:p>
        </w:tc>
        <w:tc>
          <w:tcPr>
            <w:tcW w:w="1590" w:type="dxa"/>
          </w:tcPr>
          <w:p w:rsidR="009D0785" w:rsidRPr="00761D83" w:rsidRDefault="009D0785" w:rsidP="00CD23CD">
            <w:pPr>
              <w:rPr>
                <w:sz w:val="22"/>
                <w:szCs w:val="22"/>
              </w:rPr>
            </w:pPr>
            <w:r w:rsidRPr="00761D83">
              <w:rPr>
                <w:sz w:val="22"/>
                <w:szCs w:val="22"/>
              </w:rPr>
              <w:t>Наименование маршрута</w:t>
            </w:r>
          </w:p>
        </w:tc>
        <w:tc>
          <w:tcPr>
            <w:tcW w:w="1682" w:type="dxa"/>
          </w:tcPr>
          <w:p w:rsidR="009D0785" w:rsidRPr="00761D83" w:rsidRDefault="009D0785" w:rsidP="00CD23CD">
            <w:pPr>
              <w:rPr>
                <w:sz w:val="22"/>
                <w:szCs w:val="22"/>
              </w:rPr>
            </w:pPr>
            <w:r w:rsidRPr="00761D83">
              <w:rPr>
                <w:sz w:val="22"/>
                <w:szCs w:val="22"/>
              </w:rPr>
              <w:t>Протяженность маршрута</w:t>
            </w:r>
          </w:p>
        </w:tc>
        <w:tc>
          <w:tcPr>
            <w:tcW w:w="1269" w:type="dxa"/>
          </w:tcPr>
          <w:p w:rsidR="009D0785" w:rsidRPr="00761D83" w:rsidRDefault="009D0785" w:rsidP="00CD23CD">
            <w:pPr>
              <w:rPr>
                <w:sz w:val="22"/>
                <w:szCs w:val="22"/>
              </w:rPr>
            </w:pPr>
            <w:r w:rsidRPr="00761D83">
              <w:rPr>
                <w:sz w:val="22"/>
                <w:szCs w:val="22"/>
              </w:rPr>
              <w:t>Вид сообщения</w:t>
            </w:r>
          </w:p>
        </w:tc>
        <w:tc>
          <w:tcPr>
            <w:tcW w:w="1147" w:type="dxa"/>
          </w:tcPr>
          <w:p w:rsidR="009D0785" w:rsidRPr="00761D83" w:rsidRDefault="009D0785" w:rsidP="00CD23CD">
            <w:pPr>
              <w:rPr>
                <w:sz w:val="22"/>
                <w:szCs w:val="22"/>
              </w:rPr>
            </w:pPr>
            <w:r w:rsidRPr="00761D83">
              <w:rPr>
                <w:sz w:val="22"/>
                <w:szCs w:val="22"/>
              </w:rPr>
              <w:t>Вид маршрута</w:t>
            </w:r>
          </w:p>
        </w:tc>
        <w:tc>
          <w:tcPr>
            <w:tcW w:w="1610" w:type="dxa"/>
          </w:tcPr>
          <w:p w:rsidR="009D0785" w:rsidRPr="00761D83" w:rsidRDefault="009D0785" w:rsidP="00CD23CD">
            <w:pPr>
              <w:rPr>
                <w:sz w:val="22"/>
                <w:szCs w:val="22"/>
              </w:rPr>
            </w:pPr>
            <w:r w:rsidRPr="00761D83">
              <w:rPr>
                <w:sz w:val="22"/>
                <w:szCs w:val="22"/>
              </w:rPr>
              <w:t>Наиме</w:t>
            </w:r>
            <w:r>
              <w:rPr>
                <w:sz w:val="22"/>
                <w:szCs w:val="22"/>
              </w:rPr>
              <w:t>нование город</w:t>
            </w:r>
            <w:proofErr w:type="gramStart"/>
            <w:r>
              <w:rPr>
                <w:sz w:val="22"/>
                <w:szCs w:val="22"/>
              </w:rPr>
              <w:t>.</w:t>
            </w:r>
            <w:proofErr w:type="gramEnd"/>
            <w:r w:rsidRPr="00761D83">
              <w:rPr>
                <w:sz w:val="22"/>
                <w:szCs w:val="22"/>
              </w:rPr>
              <w:t xml:space="preserve"> </w:t>
            </w:r>
            <w:proofErr w:type="gramStart"/>
            <w:r w:rsidRPr="00761D83">
              <w:rPr>
                <w:sz w:val="22"/>
                <w:szCs w:val="22"/>
              </w:rPr>
              <w:t>о</w:t>
            </w:r>
            <w:proofErr w:type="gramEnd"/>
            <w:r w:rsidRPr="00761D83">
              <w:rPr>
                <w:sz w:val="22"/>
                <w:szCs w:val="22"/>
              </w:rPr>
              <w:t>круга</w:t>
            </w:r>
          </w:p>
        </w:tc>
        <w:tc>
          <w:tcPr>
            <w:tcW w:w="1666" w:type="dxa"/>
          </w:tcPr>
          <w:p w:rsidR="009D0785" w:rsidRPr="00761D83" w:rsidRDefault="009D0785" w:rsidP="00CD23CD">
            <w:pPr>
              <w:rPr>
                <w:sz w:val="22"/>
                <w:szCs w:val="22"/>
              </w:rPr>
            </w:pPr>
            <w:r w:rsidRPr="00761D83">
              <w:rPr>
                <w:sz w:val="22"/>
                <w:szCs w:val="22"/>
              </w:rPr>
              <w:t>Тип перевозки</w:t>
            </w:r>
          </w:p>
        </w:tc>
        <w:tc>
          <w:tcPr>
            <w:tcW w:w="1158" w:type="dxa"/>
          </w:tcPr>
          <w:p w:rsidR="009D0785" w:rsidRPr="00761D83" w:rsidRDefault="009D0785" w:rsidP="00CD23CD">
            <w:pPr>
              <w:rPr>
                <w:sz w:val="22"/>
                <w:szCs w:val="22"/>
              </w:rPr>
            </w:pPr>
            <w:r w:rsidRPr="00761D83">
              <w:rPr>
                <w:sz w:val="22"/>
                <w:szCs w:val="22"/>
              </w:rPr>
              <w:t>Кол-во автобусов</w:t>
            </w:r>
          </w:p>
        </w:tc>
        <w:tc>
          <w:tcPr>
            <w:tcW w:w="1455" w:type="dxa"/>
          </w:tcPr>
          <w:p w:rsidR="009D0785" w:rsidRPr="00761D83" w:rsidRDefault="009D0785" w:rsidP="00CD23CD">
            <w:pPr>
              <w:rPr>
                <w:sz w:val="22"/>
                <w:szCs w:val="22"/>
              </w:rPr>
            </w:pPr>
            <w:r w:rsidRPr="00761D83">
              <w:rPr>
                <w:sz w:val="22"/>
                <w:szCs w:val="22"/>
              </w:rPr>
              <w:t>Вместимость</w:t>
            </w:r>
          </w:p>
        </w:tc>
      </w:tr>
      <w:tr w:rsidR="009D0785" w:rsidRPr="0039647F" w:rsidTr="00CD23CD">
        <w:tc>
          <w:tcPr>
            <w:tcW w:w="1460" w:type="dxa"/>
            <w:vAlign w:val="center"/>
          </w:tcPr>
          <w:p w:rsidR="009D0785" w:rsidRPr="0039647F" w:rsidRDefault="009D0785" w:rsidP="007D7A8B">
            <w:pPr>
              <w:jc w:val="center"/>
            </w:pPr>
            <w:r w:rsidRPr="0039647F">
              <w:t>1</w:t>
            </w:r>
          </w:p>
        </w:tc>
        <w:tc>
          <w:tcPr>
            <w:tcW w:w="1147" w:type="dxa"/>
            <w:vAlign w:val="center"/>
          </w:tcPr>
          <w:p w:rsidR="009D0785" w:rsidRPr="0039647F" w:rsidRDefault="009D0785" w:rsidP="00CD23CD">
            <w:pPr>
              <w:jc w:val="center"/>
            </w:pPr>
            <w:r w:rsidRPr="0039647F">
              <w:t>1627</w:t>
            </w:r>
          </w:p>
        </w:tc>
        <w:tc>
          <w:tcPr>
            <w:tcW w:w="1147" w:type="dxa"/>
            <w:vAlign w:val="center"/>
          </w:tcPr>
          <w:p w:rsidR="009D0785" w:rsidRPr="0039647F" w:rsidRDefault="009D0785" w:rsidP="00CD23CD">
            <w:pPr>
              <w:jc w:val="center"/>
            </w:pPr>
            <w:r w:rsidRPr="0039647F">
              <w:t>102</w:t>
            </w:r>
          </w:p>
        </w:tc>
        <w:tc>
          <w:tcPr>
            <w:tcW w:w="1590" w:type="dxa"/>
            <w:vAlign w:val="center"/>
          </w:tcPr>
          <w:p w:rsidR="009D0785" w:rsidRPr="00761D83" w:rsidRDefault="009D0785" w:rsidP="00CD23CD">
            <w:pPr>
              <w:jc w:val="center"/>
              <w:rPr>
                <w:sz w:val="20"/>
                <w:szCs w:val="20"/>
              </w:rPr>
            </w:pPr>
            <w:r w:rsidRPr="00761D83">
              <w:rPr>
                <w:sz w:val="20"/>
                <w:szCs w:val="20"/>
              </w:rPr>
              <w:t xml:space="preserve">ул. </w:t>
            </w:r>
            <w:proofErr w:type="spellStart"/>
            <w:r w:rsidRPr="00761D83">
              <w:rPr>
                <w:sz w:val="20"/>
                <w:szCs w:val="20"/>
              </w:rPr>
              <w:t>Ялагина</w:t>
            </w:r>
            <w:proofErr w:type="spellEnd"/>
            <w:r w:rsidRPr="00761D83">
              <w:rPr>
                <w:sz w:val="20"/>
                <w:szCs w:val="20"/>
              </w:rPr>
              <w:t xml:space="preserve"> – ул. Спортивная</w:t>
            </w:r>
          </w:p>
        </w:tc>
        <w:tc>
          <w:tcPr>
            <w:tcW w:w="1682" w:type="dxa"/>
            <w:vAlign w:val="center"/>
          </w:tcPr>
          <w:p w:rsidR="009D0785" w:rsidRPr="0039647F" w:rsidRDefault="009D0785" w:rsidP="00CD23CD">
            <w:pPr>
              <w:jc w:val="center"/>
            </w:pPr>
            <w:r>
              <w:t>15,4</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761D83" w:rsidRDefault="009D0785" w:rsidP="00CD23CD">
            <w:pPr>
              <w:jc w:val="center"/>
              <w:rPr>
                <w:sz w:val="20"/>
                <w:szCs w:val="20"/>
              </w:rPr>
            </w:pPr>
            <w:r w:rsidRPr="00761D83">
              <w:rPr>
                <w:sz w:val="20"/>
                <w:szCs w:val="20"/>
              </w:rPr>
              <w:t>Регулярные перевозки по нерегулируемым тарифам</w:t>
            </w:r>
          </w:p>
        </w:tc>
        <w:tc>
          <w:tcPr>
            <w:tcW w:w="1158" w:type="dxa"/>
            <w:vAlign w:val="center"/>
          </w:tcPr>
          <w:p w:rsidR="009D0785" w:rsidRPr="0039647F" w:rsidRDefault="009D0785" w:rsidP="00CD23CD">
            <w:pPr>
              <w:jc w:val="center"/>
            </w:pPr>
            <w:r w:rsidRPr="0039647F">
              <w:t>4</w:t>
            </w:r>
          </w:p>
        </w:tc>
        <w:tc>
          <w:tcPr>
            <w:tcW w:w="1455" w:type="dxa"/>
            <w:vAlign w:val="center"/>
          </w:tcPr>
          <w:p w:rsidR="009D0785" w:rsidRPr="004E5ADC" w:rsidRDefault="009D0785" w:rsidP="00CD23CD">
            <w:pPr>
              <w:jc w:val="center"/>
              <w:rPr>
                <w:lang w:val="en-US"/>
              </w:rPr>
            </w:pPr>
            <w:r w:rsidRPr="0039647F">
              <w:t>МВ</w:t>
            </w:r>
            <w:r>
              <w:rPr>
                <w:lang w:val="en-US"/>
              </w:rPr>
              <w:t xml:space="preserve"> II</w:t>
            </w:r>
          </w:p>
        </w:tc>
      </w:tr>
      <w:tr w:rsidR="009D0785" w:rsidRPr="0039647F" w:rsidTr="00CD23CD">
        <w:tc>
          <w:tcPr>
            <w:tcW w:w="1460" w:type="dxa"/>
            <w:vAlign w:val="center"/>
          </w:tcPr>
          <w:p w:rsidR="009D0785" w:rsidRPr="0039647F" w:rsidRDefault="009D0785" w:rsidP="00CD23CD">
            <w:pPr>
              <w:jc w:val="center"/>
            </w:pPr>
            <w:r w:rsidRPr="0039647F">
              <w:t>2</w:t>
            </w:r>
          </w:p>
        </w:tc>
        <w:tc>
          <w:tcPr>
            <w:tcW w:w="1147" w:type="dxa"/>
            <w:vAlign w:val="center"/>
          </w:tcPr>
          <w:p w:rsidR="009D0785" w:rsidRPr="0039647F" w:rsidRDefault="009D0785" w:rsidP="007D7A8B">
            <w:pPr>
              <w:jc w:val="center"/>
            </w:pPr>
            <w:r w:rsidRPr="0039647F">
              <w:t>1629</w:t>
            </w:r>
          </w:p>
        </w:tc>
        <w:tc>
          <w:tcPr>
            <w:tcW w:w="1147" w:type="dxa"/>
            <w:vAlign w:val="center"/>
          </w:tcPr>
          <w:p w:rsidR="009D0785" w:rsidRPr="0039647F" w:rsidRDefault="009D0785" w:rsidP="00CD23CD">
            <w:pPr>
              <w:jc w:val="center"/>
            </w:pPr>
            <w:r w:rsidRPr="0039647F">
              <w:t>105</w:t>
            </w:r>
          </w:p>
        </w:tc>
        <w:tc>
          <w:tcPr>
            <w:tcW w:w="1590" w:type="dxa"/>
            <w:vAlign w:val="center"/>
          </w:tcPr>
          <w:p w:rsidR="009D0785" w:rsidRPr="00761D83" w:rsidRDefault="009D0785" w:rsidP="007D7A8B">
            <w:pPr>
              <w:jc w:val="center"/>
              <w:rPr>
                <w:sz w:val="20"/>
                <w:szCs w:val="20"/>
              </w:rPr>
            </w:pPr>
            <w:r w:rsidRPr="00761D83">
              <w:rPr>
                <w:sz w:val="20"/>
                <w:szCs w:val="20"/>
              </w:rPr>
              <w:t>ТЦ «</w:t>
            </w:r>
            <w:proofErr w:type="spellStart"/>
            <w:r w:rsidRPr="00761D83">
              <w:rPr>
                <w:sz w:val="20"/>
                <w:szCs w:val="20"/>
              </w:rPr>
              <w:t>Эльград</w:t>
            </w:r>
            <w:proofErr w:type="spellEnd"/>
            <w:r w:rsidRPr="00761D83">
              <w:rPr>
                <w:sz w:val="20"/>
                <w:szCs w:val="20"/>
              </w:rPr>
              <w:t xml:space="preserve">» </w:t>
            </w:r>
            <w:r w:rsidR="007D7A8B">
              <w:rPr>
                <w:sz w:val="20"/>
                <w:szCs w:val="20"/>
              </w:rPr>
              <w:t>–</w:t>
            </w:r>
            <w:r w:rsidRPr="00761D83">
              <w:rPr>
                <w:sz w:val="20"/>
                <w:szCs w:val="20"/>
              </w:rPr>
              <w:t xml:space="preserve"> </w:t>
            </w:r>
            <w:proofErr w:type="spellStart"/>
            <w:r w:rsidRPr="00761D83">
              <w:rPr>
                <w:sz w:val="20"/>
                <w:szCs w:val="20"/>
              </w:rPr>
              <w:t>пр-т</w:t>
            </w:r>
            <w:proofErr w:type="spellEnd"/>
            <w:r w:rsidRPr="00761D83">
              <w:rPr>
                <w:sz w:val="20"/>
                <w:szCs w:val="20"/>
              </w:rPr>
              <w:t xml:space="preserve"> Южный</w:t>
            </w:r>
          </w:p>
        </w:tc>
        <w:tc>
          <w:tcPr>
            <w:tcW w:w="1682" w:type="dxa"/>
            <w:vAlign w:val="center"/>
          </w:tcPr>
          <w:p w:rsidR="009D0785" w:rsidRPr="0039647F" w:rsidRDefault="009D0785" w:rsidP="00CD23CD">
            <w:pPr>
              <w:jc w:val="center"/>
            </w:pPr>
            <w:r w:rsidRPr="0039647F">
              <w:t>7,2</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39647F" w:rsidRDefault="009D0785" w:rsidP="00CD23CD">
            <w:pPr>
              <w:jc w:val="center"/>
            </w:pPr>
            <w:r w:rsidRPr="00761D83">
              <w:rPr>
                <w:sz w:val="20"/>
                <w:szCs w:val="20"/>
              </w:rPr>
              <w:t>Регулярные перевозки по нерегулируемым тарифам</w:t>
            </w:r>
          </w:p>
        </w:tc>
        <w:tc>
          <w:tcPr>
            <w:tcW w:w="1158" w:type="dxa"/>
            <w:vAlign w:val="center"/>
          </w:tcPr>
          <w:p w:rsidR="009D0785" w:rsidRPr="0039647F" w:rsidRDefault="009D0785" w:rsidP="00CD23CD">
            <w:pPr>
              <w:jc w:val="center"/>
            </w:pPr>
            <w:r w:rsidRPr="0039647F">
              <w:t>4</w:t>
            </w:r>
          </w:p>
        </w:tc>
        <w:tc>
          <w:tcPr>
            <w:tcW w:w="1455" w:type="dxa"/>
            <w:vAlign w:val="center"/>
          </w:tcPr>
          <w:p w:rsidR="009D0785" w:rsidRPr="004E5ADC" w:rsidRDefault="009D0785" w:rsidP="00CD23CD">
            <w:pPr>
              <w:jc w:val="center"/>
              <w:rPr>
                <w:lang w:val="en-US"/>
              </w:rPr>
            </w:pPr>
            <w:r w:rsidRPr="0039647F">
              <w:t>МВ</w:t>
            </w:r>
            <w:r>
              <w:rPr>
                <w:lang w:val="en-US"/>
              </w:rPr>
              <w:t xml:space="preserve"> II</w:t>
            </w:r>
          </w:p>
        </w:tc>
      </w:tr>
      <w:tr w:rsidR="009D0785" w:rsidRPr="0039647F" w:rsidTr="00CD23CD">
        <w:tc>
          <w:tcPr>
            <w:tcW w:w="1460" w:type="dxa"/>
            <w:vAlign w:val="center"/>
          </w:tcPr>
          <w:p w:rsidR="009D0785" w:rsidRPr="0039647F" w:rsidRDefault="009D0785" w:rsidP="00CD23CD">
            <w:pPr>
              <w:jc w:val="center"/>
            </w:pPr>
            <w:r w:rsidRPr="0039647F">
              <w:t>3</w:t>
            </w:r>
          </w:p>
        </w:tc>
        <w:tc>
          <w:tcPr>
            <w:tcW w:w="1147" w:type="dxa"/>
            <w:vAlign w:val="center"/>
          </w:tcPr>
          <w:p w:rsidR="009D0785" w:rsidRPr="0039647F" w:rsidRDefault="009D0785" w:rsidP="007D7A8B">
            <w:pPr>
              <w:jc w:val="center"/>
            </w:pPr>
            <w:r w:rsidRPr="0039647F">
              <w:t>1631</w:t>
            </w:r>
          </w:p>
        </w:tc>
        <w:tc>
          <w:tcPr>
            <w:tcW w:w="1147" w:type="dxa"/>
            <w:vAlign w:val="center"/>
          </w:tcPr>
          <w:p w:rsidR="009D0785" w:rsidRPr="0039647F" w:rsidRDefault="009D0785" w:rsidP="00CD23CD">
            <w:pPr>
              <w:jc w:val="center"/>
            </w:pPr>
            <w:r w:rsidRPr="0039647F">
              <w:t>107</w:t>
            </w:r>
          </w:p>
        </w:tc>
        <w:tc>
          <w:tcPr>
            <w:tcW w:w="1590" w:type="dxa"/>
            <w:vAlign w:val="center"/>
          </w:tcPr>
          <w:p w:rsidR="009D0785" w:rsidRPr="00761D83" w:rsidRDefault="009D0785" w:rsidP="00CD23CD">
            <w:pPr>
              <w:jc w:val="center"/>
              <w:rPr>
                <w:sz w:val="20"/>
                <w:szCs w:val="20"/>
              </w:rPr>
            </w:pPr>
            <w:r w:rsidRPr="00761D83">
              <w:rPr>
                <w:sz w:val="20"/>
                <w:szCs w:val="20"/>
              </w:rPr>
              <w:t>ТЦ «</w:t>
            </w:r>
            <w:proofErr w:type="spellStart"/>
            <w:r w:rsidRPr="00761D83">
              <w:rPr>
                <w:sz w:val="20"/>
                <w:szCs w:val="20"/>
              </w:rPr>
              <w:t>Эльград</w:t>
            </w:r>
            <w:proofErr w:type="spellEnd"/>
            <w:r w:rsidRPr="00761D83">
              <w:rPr>
                <w:sz w:val="20"/>
                <w:szCs w:val="20"/>
              </w:rPr>
              <w:t xml:space="preserve"> – ул. </w:t>
            </w:r>
            <w:proofErr w:type="gramStart"/>
            <w:r w:rsidRPr="00761D83">
              <w:rPr>
                <w:sz w:val="20"/>
                <w:szCs w:val="20"/>
              </w:rPr>
              <w:t>Спортивная</w:t>
            </w:r>
            <w:proofErr w:type="gramEnd"/>
          </w:p>
        </w:tc>
        <w:tc>
          <w:tcPr>
            <w:tcW w:w="1682" w:type="dxa"/>
            <w:vAlign w:val="center"/>
          </w:tcPr>
          <w:p w:rsidR="009D0785" w:rsidRPr="0039647F" w:rsidRDefault="009D0785" w:rsidP="00CD23CD">
            <w:pPr>
              <w:jc w:val="center"/>
            </w:pPr>
            <w:r w:rsidRPr="0039647F">
              <w:t>5,7</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39647F" w:rsidRDefault="009D0785" w:rsidP="00CD23CD">
            <w:pPr>
              <w:jc w:val="center"/>
            </w:pPr>
            <w:r w:rsidRPr="00761D83">
              <w:rPr>
                <w:sz w:val="20"/>
                <w:szCs w:val="20"/>
              </w:rPr>
              <w:t>Регулярные перевозки по нерегулируемым тарифам</w:t>
            </w:r>
          </w:p>
        </w:tc>
        <w:tc>
          <w:tcPr>
            <w:tcW w:w="1158" w:type="dxa"/>
            <w:vAlign w:val="center"/>
          </w:tcPr>
          <w:p w:rsidR="009D0785" w:rsidRPr="0039647F" w:rsidRDefault="009D0785" w:rsidP="00CD23CD">
            <w:pPr>
              <w:jc w:val="center"/>
            </w:pPr>
            <w:r w:rsidRPr="0039647F">
              <w:t>2</w:t>
            </w:r>
          </w:p>
        </w:tc>
        <w:tc>
          <w:tcPr>
            <w:tcW w:w="1455" w:type="dxa"/>
            <w:vAlign w:val="center"/>
          </w:tcPr>
          <w:p w:rsidR="009D0785" w:rsidRPr="004E5ADC" w:rsidRDefault="009D0785" w:rsidP="00CD23CD">
            <w:pPr>
              <w:jc w:val="center"/>
              <w:rPr>
                <w:lang w:val="en-US"/>
              </w:rPr>
            </w:pPr>
            <w:r w:rsidRPr="0039647F">
              <w:t>МВ</w:t>
            </w:r>
            <w:r>
              <w:rPr>
                <w:lang w:val="en-US"/>
              </w:rPr>
              <w:t xml:space="preserve"> II</w:t>
            </w:r>
          </w:p>
        </w:tc>
      </w:tr>
      <w:tr w:rsidR="009D0785" w:rsidRPr="0039647F" w:rsidTr="00CD23CD">
        <w:tc>
          <w:tcPr>
            <w:tcW w:w="1460" w:type="dxa"/>
            <w:vAlign w:val="center"/>
          </w:tcPr>
          <w:p w:rsidR="009D0785" w:rsidRPr="0039647F" w:rsidRDefault="009D0785" w:rsidP="00CD23CD">
            <w:pPr>
              <w:jc w:val="center"/>
            </w:pPr>
            <w:r w:rsidRPr="0039647F">
              <w:t>4</w:t>
            </w:r>
          </w:p>
        </w:tc>
        <w:tc>
          <w:tcPr>
            <w:tcW w:w="1147" w:type="dxa"/>
            <w:vAlign w:val="center"/>
          </w:tcPr>
          <w:p w:rsidR="009D0785" w:rsidRPr="0039647F" w:rsidRDefault="009D0785" w:rsidP="007D7A8B">
            <w:pPr>
              <w:jc w:val="center"/>
            </w:pPr>
            <w:r w:rsidRPr="0039647F">
              <w:t>1633</w:t>
            </w:r>
          </w:p>
        </w:tc>
        <w:tc>
          <w:tcPr>
            <w:tcW w:w="1147" w:type="dxa"/>
            <w:vAlign w:val="center"/>
          </w:tcPr>
          <w:p w:rsidR="009D0785" w:rsidRPr="0039647F" w:rsidRDefault="009D0785" w:rsidP="00CD23CD">
            <w:pPr>
              <w:jc w:val="center"/>
            </w:pPr>
            <w:r w:rsidRPr="0039647F">
              <w:t>111</w:t>
            </w:r>
          </w:p>
        </w:tc>
        <w:tc>
          <w:tcPr>
            <w:tcW w:w="1590" w:type="dxa"/>
            <w:vAlign w:val="center"/>
          </w:tcPr>
          <w:p w:rsidR="009D0785" w:rsidRPr="00761D83" w:rsidRDefault="009D0785" w:rsidP="00CD23CD">
            <w:pPr>
              <w:ind w:right="-92"/>
              <w:jc w:val="center"/>
              <w:rPr>
                <w:sz w:val="20"/>
                <w:szCs w:val="20"/>
              </w:rPr>
            </w:pPr>
            <w:r w:rsidRPr="00761D83">
              <w:rPr>
                <w:sz w:val="20"/>
                <w:szCs w:val="20"/>
              </w:rPr>
              <w:t>ул. Журавлева – ул. Юбилейная</w:t>
            </w:r>
          </w:p>
        </w:tc>
        <w:tc>
          <w:tcPr>
            <w:tcW w:w="1682" w:type="dxa"/>
            <w:vAlign w:val="center"/>
          </w:tcPr>
          <w:p w:rsidR="009D0785" w:rsidRPr="0039647F" w:rsidRDefault="009D0785" w:rsidP="00CD23CD">
            <w:pPr>
              <w:jc w:val="center"/>
            </w:pPr>
            <w:r w:rsidRPr="0039647F">
              <w:t>7,</w:t>
            </w:r>
            <w:r>
              <w:t>2</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39647F" w:rsidRDefault="009D0785" w:rsidP="00CD23CD">
            <w:pPr>
              <w:jc w:val="center"/>
            </w:pPr>
            <w:r w:rsidRPr="00761D83">
              <w:rPr>
                <w:sz w:val="20"/>
                <w:szCs w:val="20"/>
              </w:rPr>
              <w:t xml:space="preserve">Регулярные перевозки по </w:t>
            </w:r>
            <w:r w:rsidRPr="00761D83">
              <w:rPr>
                <w:sz w:val="20"/>
                <w:szCs w:val="20"/>
              </w:rPr>
              <w:lastRenderedPageBreak/>
              <w:t>нерегулируемым тарифам</w:t>
            </w:r>
          </w:p>
        </w:tc>
        <w:tc>
          <w:tcPr>
            <w:tcW w:w="1158" w:type="dxa"/>
            <w:vAlign w:val="center"/>
          </w:tcPr>
          <w:p w:rsidR="009D0785" w:rsidRPr="0039647F" w:rsidRDefault="009D0785" w:rsidP="00CD23CD">
            <w:pPr>
              <w:jc w:val="center"/>
            </w:pPr>
            <w:r w:rsidRPr="0039647F">
              <w:lastRenderedPageBreak/>
              <w:t>3</w:t>
            </w:r>
          </w:p>
        </w:tc>
        <w:tc>
          <w:tcPr>
            <w:tcW w:w="1455" w:type="dxa"/>
            <w:vAlign w:val="center"/>
          </w:tcPr>
          <w:p w:rsidR="009D0785" w:rsidRPr="004E5ADC" w:rsidRDefault="009D0785" w:rsidP="00CD23CD">
            <w:pPr>
              <w:jc w:val="center"/>
              <w:rPr>
                <w:lang w:val="en-US"/>
              </w:rPr>
            </w:pPr>
            <w:r w:rsidRPr="0039647F">
              <w:t>МВ</w:t>
            </w:r>
            <w:r>
              <w:rPr>
                <w:lang w:val="en-US"/>
              </w:rPr>
              <w:t xml:space="preserve"> II</w:t>
            </w:r>
          </w:p>
        </w:tc>
      </w:tr>
      <w:tr w:rsidR="009D0785" w:rsidRPr="0039647F" w:rsidTr="00CD23CD">
        <w:tc>
          <w:tcPr>
            <w:tcW w:w="1460" w:type="dxa"/>
            <w:vAlign w:val="center"/>
          </w:tcPr>
          <w:p w:rsidR="009D0785" w:rsidRPr="0039647F" w:rsidRDefault="009D0785" w:rsidP="00CD23CD">
            <w:pPr>
              <w:jc w:val="center"/>
            </w:pPr>
            <w:r w:rsidRPr="0039647F">
              <w:lastRenderedPageBreak/>
              <w:t>5</w:t>
            </w:r>
          </w:p>
        </w:tc>
        <w:tc>
          <w:tcPr>
            <w:tcW w:w="1147" w:type="dxa"/>
            <w:vAlign w:val="center"/>
          </w:tcPr>
          <w:p w:rsidR="009D0785" w:rsidRPr="0039647F" w:rsidRDefault="009D0785" w:rsidP="007D7A8B">
            <w:pPr>
              <w:jc w:val="center"/>
            </w:pPr>
            <w:r w:rsidRPr="0039647F">
              <w:t>2429</w:t>
            </w:r>
          </w:p>
        </w:tc>
        <w:tc>
          <w:tcPr>
            <w:tcW w:w="1147" w:type="dxa"/>
            <w:vAlign w:val="center"/>
          </w:tcPr>
          <w:p w:rsidR="009D0785" w:rsidRPr="0039647F" w:rsidRDefault="009D0785" w:rsidP="00CD23CD">
            <w:pPr>
              <w:jc w:val="center"/>
            </w:pPr>
            <w:r w:rsidRPr="0039647F">
              <w:t>16</w:t>
            </w:r>
          </w:p>
        </w:tc>
        <w:tc>
          <w:tcPr>
            <w:tcW w:w="1590" w:type="dxa"/>
            <w:vAlign w:val="center"/>
          </w:tcPr>
          <w:p w:rsidR="009D0785" w:rsidRPr="00761D83" w:rsidRDefault="009D0785" w:rsidP="00CD23CD">
            <w:pPr>
              <w:jc w:val="center"/>
              <w:rPr>
                <w:sz w:val="20"/>
                <w:szCs w:val="20"/>
              </w:rPr>
            </w:pPr>
            <w:r w:rsidRPr="00761D83">
              <w:rPr>
                <w:sz w:val="20"/>
                <w:szCs w:val="20"/>
              </w:rPr>
              <w:t>ул. К. Маркс</w:t>
            </w:r>
            <w:proofErr w:type="gramStart"/>
            <w:r w:rsidRPr="00761D83">
              <w:rPr>
                <w:sz w:val="20"/>
                <w:szCs w:val="20"/>
              </w:rPr>
              <w:t>а-</w:t>
            </w:r>
            <w:proofErr w:type="gramEnd"/>
            <w:r w:rsidRPr="00761D83">
              <w:rPr>
                <w:sz w:val="20"/>
                <w:szCs w:val="20"/>
              </w:rPr>
              <w:t xml:space="preserve"> Загородный пр</w:t>
            </w:r>
            <w:r>
              <w:rPr>
                <w:sz w:val="20"/>
                <w:szCs w:val="20"/>
              </w:rPr>
              <w:t>.</w:t>
            </w:r>
            <w:r w:rsidRPr="00761D83">
              <w:rPr>
                <w:sz w:val="20"/>
                <w:szCs w:val="20"/>
              </w:rPr>
              <w:t xml:space="preserve"> (кладбище)</w:t>
            </w:r>
          </w:p>
        </w:tc>
        <w:tc>
          <w:tcPr>
            <w:tcW w:w="1682" w:type="dxa"/>
            <w:vAlign w:val="center"/>
          </w:tcPr>
          <w:p w:rsidR="009D0785" w:rsidRPr="0039647F" w:rsidRDefault="009D0785" w:rsidP="00CD23CD">
            <w:pPr>
              <w:jc w:val="center"/>
            </w:pPr>
            <w:r w:rsidRPr="0039647F">
              <w:t>8,9</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39647F" w:rsidRDefault="009D0785" w:rsidP="00CD23CD">
            <w:pPr>
              <w:jc w:val="center"/>
            </w:pPr>
            <w:r w:rsidRPr="00761D83">
              <w:rPr>
                <w:sz w:val="20"/>
                <w:szCs w:val="20"/>
              </w:rPr>
              <w:t>Регулярные перевозки по нерегулируемым тарифам</w:t>
            </w:r>
          </w:p>
        </w:tc>
        <w:tc>
          <w:tcPr>
            <w:tcW w:w="1158" w:type="dxa"/>
            <w:vAlign w:val="center"/>
          </w:tcPr>
          <w:p w:rsidR="009D0785" w:rsidRPr="0039647F" w:rsidRDefault="009D0785" w:rsidP="00CD23CD">
            <w:pPr>
              <w:jc w:val="center"/>
            </w:pPr>
            <w:r w:rsidRPr="0039647F">
              <w:t>4</w:t>
            </w:r>
          </w:p>
        </w:tc>
        <w:tc>
          <w:tcPr>
            <w:tcW w:w="1455" w:type="dxa"/>
            <w:vAlign w:val="center"/>
          </w:tcPr>
          <w:p w:rsidR="009D0785" w:rsidRPr="004E5ADC" w:rsidRDefault="009D0785" w:rsidP="00CD23CD">
            <w:pPr>
              <w:jc w:val="center"/>
              <w:rPr>
                <w:lang w:val="en-US"/>
              </w:rPr>
            </w:pPr>
            <w:r w:rsidRPr="0039647F">
              <w:t>МВ</w:t>
            </w:r>
            <w:r>
              <w:rPr>
                <w:lang w:val="en-US"/>
              </w:rPr>
              <w:t xml:space="preserve"> II</w:t>
            </w:r>
          </w:p>
        </w:tc>
      </w:tr>
      <w:tr w:rsidR="009D0785" w:rsidRPr="0039647F" w:rsidTr="00CD23CD">
        <w:tc>
          <w:tcPr>
            <w:tcW w:w="1460" w:type="dxa"/>
            <w:vAlign w:val="center"/>
          </w:tcPr>
          <w:p w:rsidR="009D0785" w:rsidRPr="0039647F" w:rsidRDefault="009D0785" w:rsidP="00CD23CD">
            <w:pPr>
              <w:jc w:val="center"/>
            </w:pPr>
            <w:r w:rsidRPr="0039647F">
              <w:t>6</w:t>
            </w:r>
          </w:p>
        </w:tc>
        <w:tc>
          <w:tcPr>
            <w:tcW w:w="1147" w:type="dxa"/>
            <w:vAlign w:val="center"/>
          </w:tcPr>
          <w:p w:rsidR="009D0785" w:rsidRPr="0039647F" w:rsidRDefault="009D0785" w:rsidP="007D7A8B">
            <w:pPr>
              <w:jc w:val="center"/>
            </w:pPr>
            <w:r w:rsidRPr="0039647F">
              <w:t>1609</w:t>
            </w:r>
          </w:p>
        </w:tc>
        <w:tc>
          <w:tcPr>
            <w:tcW w:w="1147" w:type="dxa"/>
            <w:vAlign w:val="center"/>
          </w:tcPr>
          <w:p w:rsidR="009D0785" w:rsidRPr="0039647F" w:rsidRDefault="009D0785" w:rsidP="00CD23CD">
            <w:pPr>
              <w:jc w:val="center"/>
            </w:pPr>
            <w:r w:rsidRPr="0039647F">
              <w:t>2</w:t>
            </w:r>
          </w:p>
        </w:tc>
        <w:tc>
          <w:tcPr>
            <w:tcW w:w="1590" w:type="dxa"/>
            <w:vAlign w:val="center"/>
          </w:tcPr>
          <w:p w:rsidR="009D0785" w:rsidRPr="00761D83" w:rsidRDefault="009D0785" w:rsidP="00CD23CD">
            <w:pPr>
              <w:jc w:val="center"/>
              <w:rPr>
                <w:sz w:val="20"/>
                <w:szCs w:val="20"/>
              </w:rPr>
            </w:pPr>
            <w:r w:rsidRPr="00761D83">
              <w:rPr>
                <w:sz w:val="20"/>
                <w:szCs w:val="20"/>
              </w:rPr>
              <w:t>м/</w:t>
            </w:r>
            <w:proofErr w:type="spellStart"/>
            <w:proofErr w:type="gramStart"/>
            <w:r w:rsidRPr="00761D83">
              <w:rPr>
                <w:sz w:val="20"/>
                <w:szCs w:val="20"/>
              </w:rPr>
              <w:t>р</w:t>
            </w:r>
            <w:proofErr w:type="spellEnd"/>
            <w:proofErr w:type="gramEnd"/>
            <w:r w:rsidRPr="00761D83">
              <w:rPr>
                <w:sz w:val="20"/>
                <w:szCs w:val="20"/>
              </w:rPr>
              <w:t xml:space="preserve"> Северный – Проходная ОАО «МСЗ»</w:t>
            </w:r>
          </w:p>
        </w:tc>
        <w:tc>
          <w:tcPr>
            <w:tcW w:w="1682" w:type="dxa"/>
            <w:vAlign w:val="center"/>
          </w:tcPr>
          <w:p w:rsidR="009D0785" w:rsidRPr="0039647F" w:rsidRDefault="009D0785" w:rsidP="00CD23CD">
            <w:pPr>
              <w:jc w:val="center"/>
            </w:pPr>
            <w:r w:rsidRPr="0039647F">
              <w:t>5,1</w:t>
            </w:r>
          </w:p>
        </w:tc>
        <w:tc>
          <w:tcPr>
            <w:tcW w:w="1269" w:type="dxa"/>
            <w:vAlign w:val="center"/>
          </w:tcPr>
          <w:p w:rsidR="009D0785" w:rsidRPr="00761D83" w:rsidRDefault="009D0785" w:rsidP="00CD23CD">
            <w:pPr>
              <w:jc w:val="center"/>
              <w:rPr>
                <w:sz w:val="20"/>
                <w:szCs w:val="20"/>
              </w:rPr>
            </w:pPr>
            <w:r w:rsidRPr="00761D83">
              <w:rPr>
                <w:sz w:val="20"/>
                <w:szCs w:val="20"/>
              </w:rPr>
              <w:t>городское</w:t>
            </w:r>
          </w:p>
        </w:tc>
        <w:tc>
          <w:tcPr>
            <w:tcW w:w="1147" w:type="dxa"/>
            <w:vAlign w:val="center"/>
          </w:tcPr>
          <w:p w:rsidR="009D0785" w:rsidRPr="00761D83" w:rsidRDefault="009D0785" w:rsidP="00CD23CD">
            <w:pPr>
              <w:jc w:val="center"/>
              <w:rPr>
                <w:sz w:val="20"/>
                <w:szCs w:val="20"/>
              </w:rPr>
            </w:pPr>
            <w:proofErr w:type="spellStart"/>
            <w:proofErr w:type="gramStart"/>
            <w:r w:rsidRPr="00761D83">
              <w:rPr>
                <w:sz w:val="20"/>
                <w:szCs w:val="20"/>
              </w:rPr>
              <w:t>муници-пальный</w:t>
            </w:r>
            <w:proofErr w:type="spellEnd"/>
            <w:proofErr w:type="gramEnd"/>
          </w:p>
        </w:tc>
        <w:tc>
          <w:tcPr>
            <w:tcW w:w="1610" w:type="dxa"/>
            <w:vAlign w:val="center"/>
          </w:tcPr>
          <w:p w:rsidR="009D0785" w:rsidRPr="00761D83" w:rsidRDefault="009D0785" w:rsidP="00CD23CD">
            <w:pPr>
              <w:jc w:val="center"/>
              <w:rPr>
                <w:sz w:val="20"/>
                <w:szCs w:val="20"/>
              </w:rPr>
            </w:pPr>
            <w:r w:rsidRPr="00761D83">
              <w:rPr>
                <w:sz w:val="20"/>
                <w:szCs w:val="20"/>
              </w:rPr>
              <w:t>Электросталь</w:t>
            </w:r>
          </w:p>
        </w:tc>
        <w:tc>
          <w:tcPr>
            <w:tcW w:w="1666" w:type="dxa"/>
            <w:vAlign w:val="center"/>
          </w:tcPr>
          <w:p w:rsidR="009D0785" w:rsidRPr="0039647F" w:rsidRDefault="009D0785" w:rsidP="00CD23CD">
            <w:pPr>
              <w:jc w:val="center"/>
            </w:pPr>
            <w:r w:rsidRPr="00761D83">
              <w:rPr>
                <w:sz w:val="20"/>
                <w:szCs w:val="20"/>
              </w:rPr>
              <w:t>Регулярные перевозки по нерегулируемым тарифам</w:t>
            </w:r>
          </w:p>
        </w:tc>
        <w:tc>
          <w:tcPr>
            <w:tcW w:w="1158" w:type="dxa"/>
            <w:vAlign w:val="center"/>
          </w:tcPr>
          <w:p w:rsidR="009D0785" w:rsidRPr="0039647F" w:rsidRDefault="009D0785" w:rsidP="00CD23CD">
            <w:pPr>
              <w:jc w:val="center"/>
            </w:pPr>
            <w:r w:rsidRPr="0039647F">
              <w:t>1</w:t>
            </w:r>
          </w:p>
        </w:tc>
        <w:tc>
          <w:tcPr>
            <w:tcW w:w="1455" w:type="dxa"/>
            <w:vAlign w:val="center"/>
          </w:tcPr>
          <w:p w:rsidR="009D0785" w:rsidRPr="006A68C0" w:rsidRDefault="009D0785" w:rsidP="00CD23CD">
            <w:pPr>
              <w:jc w:val="center"/>
            </w:pPr>
            <w:r w:rsidRPr="0039647F">
              <w:t>МВ</w:t>
            </w:r>
            <w:r>
              <w:rPr>
                <w:lang w:val="en-US"/>
              </w:rPr>
              <w:t xml:space="preserve"> I</w:t>
            </w:r>
          </w:p>
        </w:tc>
      </w:tr>
    </w:tbl>
    <w:p w:rsidR="009D0785" w:rsidRPr="0039647F" w:rsidRDefault="009D0785" w:rsidP="009D0785">
      <w:pPr>
        <w:autoSpaceDE w:val="0"/>
        <w:autoSpaceDN w:val="0"/>
        <w:adjustRightInd w:val="0"/>
        <w:outlineLvl w:val="1"/>
      </w:pPr>
    </w:p>
    <w:p w:rsidR="009D0785" w:rsidRPr="0039647F" w:rsidRDefault="009D0785" w:rsidP="009D0785">
      <w:pPr>
        <w:pStyle w:val="a4"/>
        <w:ind w:firstLine="708"/>
      </w:pPr>
      <w:r w:rsidRPr="0039647F">
        <w:t>Победителем признается участник конкурса, который предложил лучшие условия перевозки пассажиров и багажа и набравший максимальное количество б</w:t>
      </w:r>
      <w:r w:rsidR="007D7A8B">
        <w:t>аллов по оценочным показателям.</w:t>
      </w:r>
    </w:p>
    <w:p w:rsidR="009D0785" w:rsidRPr="0039647F" w:rsidRDefault="009D0785" w:rsidP="007D7A8B">
      <w:pPr>
        <w:pStyle w:val="a4"/>
        <w:ind w:firstLine="708"/>
      </w:pPr>
      <w:r w:rsidRPr="0039647F">
        <w:t>Победитель конкурса не позднее 20 дней со дня подписания протокола заключает с Администрацией городского округа Электросталь договор на выполнение пассажирских перевозок по маршруту (маршрутам) регулярных перев</w:t>
      </w:r>
      <w:r w:rsidR="007D7A8B">
        <w:t xml:space="preserve">озок по нерегулируемым тарифам </w:t>
      </w:r>
      <w:r w:rsidRPr="0039647F">
        <w:t xml:space="preserve">на </w:t>
      </w:r>
      <w:proofErr w:type="gramStart"/>
      <w:r w:rsidRPr="0039647F">
        <w:t>условиях</w:t>
      </w:r>
      <w:proofErr w:type="gramEnd"/>
      <w:r w:rsidRPr="0039647F">
        <w:t xml:space="preserve"> изложенных в договоре (типовая форма договора прилагается).</w:t>
      </w:r>
    </w:p>
    <w:p w:rsidR="009D0785" w:rsidRPr="007D7A8B" w:rsidRDefault="009D0785" w:rsidP="007D7A8B">
      <w:pPr>
        <w:pStyle w:val="a4"/>
        <w:ind w:firstLine="708"/>
        <w:rPr>
          <w:sz w:val="22"/>
          <w:szCs w:val="22"/>
        </w:rPr>
      </w:pPr>
      <w:r w:rsidRPr="0039647F">
        <w:t>Срок действия договора на вып</w:t>
      </w:r>
      <w:r w:rsidR="007D7A8B">
        <w:t xml:space="preserve">олнение пассажирских перевозок </w:t>
      </w:r>
      <w:r w:rsidRPr="0039647F">
        <w:t>по маршрутам №</w:t>
      </w:r>
      <w:r>
        <w:t xml:space="preserve"> </w:t>
      </w:r>
      <w:r w:rsidRPr="0039647F">
        <w:t>2</w:t>
      </w:r>
      <w:r>
        <w:t xml:space="preserve">, </w:t>
      </w:r>
      <w:r w:rsidR="00D760E3">
        <w:t xml:space="preserve">№16, №102, №105, №107, </w:t>
      </w:r>
      <w:r w:rsidRPr="0039647F">
        <w:t>№111 – 5 лет.</w:t>
      </w:r>
    </w:p>
    <w:p w:rsidR="00905F21" w:rsidRDefault="009D0785" w:rsidP="00D760E3">
      <w:pPr>
        <w:pStyle w:val="a4"/>
        <w:ind w:firstLine="708"/>
      </w:pPr>
      <w:r w:rsidRPr="0039647F">
        <w:t>Иные условия</w:t>
      </w:r>
      <w:r>
        <w:t>: в паспорта маршрутов №</w:t>
      </w:r>
      <w:r w:rsidR="00D760E3">
        <w:t xml:space="preserve"> </w:t>
      </w:r>
      <w:r>
        <w:t>105 и № 107 внесены изменения. Соответствующие документы направлены в Министерство транспорта Московской области для внесения изменений в Реестр маршрутов регулярных перевозок М</w:t>
      </w:r>
      <w:r w:rsidR="00D760E3">
        <w:t xml:space="preserve">осковской области. </w:t>
      </w:r>
      <w:r>
        <w:t>В информационном извещении указаны новые параметры этих маршрутов.</w:t>
      </w:r>
    </w:p>
    <w:sectPr w:rsidR="00905F21" w:rsidSect="009D0785">
      <w:pgSz w:w="16838" w:h="11906" w:orient="landscape"/>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D0785"/>
    <w:rsid w:val="00415B80"/>
    <w:rsid w:val="005A7355"/>
    <w:rsid w:val="00600505"/>
    <w:rsid w:val="006659DC"/>
    <w:rsid w:val="00682384"/>
    <w:rsid w:val="006C0FEA"/>
    <w:rsid w:val="007D7A8B"/>
    <w:rsid w:val="00864371"/>
    <w:rsid w:val="00905F21"/>
    <w:rsid w:val="009D0785"/>
    <w:rsid w:val="00B92A21"/>
    <w:rsid w:val="00D7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8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0785"/>
    <w:rPr>
      <w:color w:val="0000FF"/>
      <w:u w:val="single"/>
    </w:rPr>
  </w:style>
  <w:style w:type="paragraph" w:styleId="a4">
    <w:name w:val="Body Text"/>
    <w:basedOn w:val="a"/>
    <w:link w:val="a5"/>
    <w:rsid w:val="009D0785"/>
    <w:pPr>
      <w:jc w:val="both"/>
    </w:pPr>
  </w:style>
  <w:style w:type="character" w:customStyle="1" w:styleId="a5">
    <w:name w:val="Основной текст Знак"/>
    <w:basedOn w:val="a0"/>
    <w:link w:val="a4"/>
    <w:rsid w:val="009D0785"/>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pobegimova</dc:creator>
  <cp:keywords/>
  <dc:description/>
  <cp:lastModifiedBy>pobegimova</cp:lastModifiedBy>
  <cp:revision>2</cp:revision>
  <dcterms:created xsi:type="dcterms:W3CDTF">2011-10-19T10:37:00Z</dcterms:created>
  <dcterms:modified xsi:type="dcterms:W3CDTF">2011-10-19T11:07:00Z</dcterms:modified>
</cp:coreProperties>
</file>