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E2" w:rsidRDefault="00297325" w:rsidP="00297325">
      <w:pPr>
        <w:ind w:firstLine="709"/>
        <w:rPr>
          <w:b/>
          <w:sz w:val="24"/>
          <w:szCs w:val="24"/>
        </w:rPr>
      </w:pPr>
      <w:r>
        <w:rPr>
          <w:b/>
          <w:sz w:val="24"/>
          <w:szCs w:val="24"/>
        </w:rPr>
        <w:t xml:space="preserve">2 </w:t>
      </w:r>
      <w:r w:rsidR="00B11EE2" w:rsidRPr="00C11F34">
        <w:rPr>
          <w:b/>
          <w:sz w:val="24"/>
          <w:szCs w:val="24"/>
        </w:rPr>
        <w:t>Цели и задачи подпрограммы</w:t>
      </w:r>
    </w:p>
    <w:p w:rsidR="00297325" w:rsidRDefault="00297325" w:rsidP="00297325">
      <w:pPr>
        <w:ind w:firstLine="709"/>
        <w:rPr>
          <w:b/>
          <w:sz w:val="24"/>
          <w:szCs w:val="24"/>
        </w:rPr>
      </w:pPr>
    </w:p>
    <w:p w:rsidR="00B11EE2" w:rsidRDefault="00297325" w:rsidP="00297325">
      <w:pPr>
        <w:ind w:firstLine="709"/>
        <w:jc w:val="both"/>
        <w:rPr>
          <w:sz w:val="24"/>
        </w:rPr>
      </w:pPr>
      <w:r>
        <w:rPr>
          <w:sz w:val="24"/>
          <w:szCs w:val="24"/>
        </w:rPr>
        <w:t xml:space="preserve">2.1 </w:t>
      </w:r>
      <w:r w:rsidR="00B11EE2">
        <w:rPr>
          <w:sz w:val="24"/>
        </w:rPr>
        <w:t>Основн</w:t>
      </w:r>
      <w:r>
        <w:rPr>
          <w:sz w:val="24"/>
        </w:rPr>
        <w:t>ой</w:t>
      </w:r>
      <w:r w:rsidR="00B11EE2">
        <w:rPr>
          <w:sz w:val="24"/>
        </w:rPr>
        <w:t xml:space="preserve"> цел</w:t>
      </w:r>
      <w:r>
        <w:rPr>
          <w:sz w:val="24"/>
        </w:rPr>
        <w:t>ью</w:t>
      </w:r>
      <w:r w:rsidR="00B11EE2">
        <w:rPr>
          <w:sz w:val="24"/>
        </w:rPr>
        <w:t xml:space="preserve"> подп</w:t>
      </w:r>
      <w:r w:rsidR="00B11EE2" w:rsidRPr="00C54743">
        <w:rPr>
          <w:sz w:val="24"/>
        </w:rPr>
        <w:t>рограммы явля</w:t>
      </w:r>
      <w:r>
        <w:rPr>
          <w:sz w:val="24"/>
        </w:rPr>
        <w:t>е</w:t>
      </w:r>
      <w:r w:rsidR="00B11EE2" w:rsidRPr="00C54743">
        <w:rPr>
          <w:sz w:val="24"/>
        </w:rPr>
        <w:t xml:space="preserve">тся:                                    </w:t>
      </w:r>
      <w:r w:rsidR="00B11EE2">
        <w:rPr>
          <w:sz w:val="24"/>
        </w:rPr>
        <w:t xml:space="preserve">            </w:t>
      </w:r>
    </w:p>
    <w:p w:rsidR="00297325" w:rsidRDefault="00297325" w:rsidP="00297325">
      <w:pPr>
        <w:pStyle w:val="a6"/>
        <w:numPr>
          <w:ilvl w:val="0"/>
          <w:numId w:val="1"/>
        </w:numPr>
        <w:jc w:val="both"/>
        <w:rPr>
          <w:sz w:val="24"/>
          <w:szCs w:val="24"/>
        </w:rPr>
      </w:pPr>
      <w:r w:rsidRPr="00297325">
        <w:rPr>
          <w:sz w:val="24"/>
          <w:szCs w:val="24"/>
        </w:rPr>
        <w:t>э</w:t>
      </w:r>
      <w:r w:rsidR="00B11EE2" w:rsidRPr="00297325">
        <w:rPr>
          <w:sz w:val="24"/>
          <w:szCs w:val="24"/>
        </w:rPr>
        <w:t>ффективное и рациональное использование энергетических ресурсов на территории городского округа Электросталь Московской области за счёт реализации энергосберегающих мероприятий.</w:t>
      </w:r>
    </w:p>
    <w:p w:rsidR="005A7044" w:rsidRPr="00297325" w:rsidRDefault="00297325" w:rsidP="00297325">
      <w:pPr>
        <w:ind w:firstLine="709"/>
        <w:jc w:val="both"/>
        <w:rPr>
          <w:sz w:val="24"/>
          <w:szCs w:val="24"/>
        </w:rPr>
      </w:pPr>
      <w:r w:rsidRPr="00297325">
        <w:rPr>
          <w:sz w:val="24"/>
        </w:rPr>
        <w:t>2.</w:t>
      </w:r>
      <w:r w:rsidR="00B11EE2" w:rsidRPr="00297325">
        <w:rPr>
          <w:sz w:val="24"/>
        </w:rPr>
        <w:t>2. Для достижения поставленн</w:t>
      </w:r>
      <w:r>
        <w:rPr>
          <w:sz w:val="24"/>
        </w:rPr>
        <w:t>ой</w:t>
      </w:r>
      <w:r w:rsidR="00B11EE2" w:rsidRPr="00297325">
        <w:rPr>
          <w:sz w:val="24"/>
        </w:rPr>
        <w:t xml:space="preserve"> цел</w:t>
      </w:r>
      <w:r>
        <w:rPr>
          <w:sz w:val="24"/>
        </w:rPr>
        <w:t>и</w:t>
      </w:r>
      <w:r w:rsidR="00B11EE2" w:rsidRPr="00297325">
        <w:rPr>
          <w:sz w:val="24"/>
        </w:rPr>
        <w:t xml:space="preserve"> в ходе выполнения подпрограммы решаются следующие нижеуказанные задачи:  </w:t>
      </w:r>
    </w:p>
    <w:p w:rsidR="00B11EE2" w:rsidRPr="00297325" w:rsidRDefault="00B11EE2" w:rsidP="00297325">
      <w:pPr>
        <w:pStyle w:val="a6"/>
        <w:numPr>
          <w:ilvl w:val="0"/>
          <w:numId w:val="2"/>
        </w:numPr>
        <w:jc w:val="both"/>
        <w:rPr>
          <w:sz w:val="24"/>
          <w:szCs w:val="24"/>
        </w:rPr>
      </w:pPr>
      <w:r w:rsidRPr="00297325">
        <w:rPr>
          <w:sz w:val="24"/>
          <w:szCs w:val="24"/>
        </w:rPr>
        <w:t>создание механизмов стимулирования энергосбережения и повышения энергетической эффективности;</w:t>
      </w:r>
    </w:p>
    <w:p w:rsidR="005A7044" w:rsidRPr="00297325" w:rsidRDefault="00EB3548" w:rsidP="00297325">
      <w:pPr>
        <w:pStyle w:val="a6"/>
        <w:widowControl w:val="0"/>
        <w:numPr>
          <w:ilvl w:val="0"/>
          <w:numId w:val="2"/>
        </w:numPr>
        <w:autoSpaceDE w:val="0"/>
        <w:autoSpaceDN w:val="0"/>
        <w:adjustRightInd w:val="0"/>
        <w:jc w:val="both"/>
        <w:rPr>
          <w:sz w:val="24"/>
          <w:szCs w:val="24"/>
        </w:rPr>
      </w:pPr>
      <w:r w:rsidRPr="00297325">
        <w:rPr>
          <w:sz w:val="24"/>
          <w:szCs w:val="24"/>
        </w:rPr>
        <w:t>повышение энергетической эффективности в бюджетной сфере</w:t>
      </w:r>
      <w:r w:rsidR="005A7044" w:rsidRPr="00297325">
        <w:rPr>
          <w:sz w:val="24"/>
          <w:szCs w:val="24"/>
        </w:rPr>
        <w:t>;</w:t>
      </w:r>
    </w:p>
    <w:p w:rsidR="00927DB0" w:rsidRPr="00297325" w:rsidRDefault="00927DB0" w:rsidP="00297325">
      <w:pPr>
        <w:pStyle w:val="a6"/>
        <w:widowControl w:val="0"/>
        <w:numPr>
          <w:ilvl w:val="0"/>
          <w:numId w:val="2"/>
        </w:numPr>
        <w:autoSpaceDE w:val="0"/>
        <w:autoSpaceDN w:val="0"/>
        <w:adjustRightInd w:val="0"/>
        <w:jc w:val="both"/>
        <w:rPr>
          <w:sz w:val="24"/>
          <w:szCs w:val="24"/>
        </w:rPr>
      </w:pPr>
      <w:r w:rsidRPr="00297325">
        <w:rPr>
          <w:sz w:val="24"/>
          <w:szCs w:val="24"/>
        </w:rPr>
        <w:t>повышение  энергетической эффективности в жилищной сфере;</w:t>
      </w:r>
    </w:p>
    <w:p w:rsidR="007969A4" w:rsidRPr="00297325" w:rsidRDefault="00EB3548" w:rsidP="00297325">
      <w:pPr>
        <w:pStyle w:val="a6"/>
        <w:widowControl w:val="0"/>
        <w:numPr>
          <w:ilvl w:val="0"/>
          <w:numId w:val="2"/>
        </w:numPr>
        <w:autoSpaceDE w:val="0"/>
        <w:autoSpaceDN w:val="0"/>
        <w:adjustRightInd w:val="0"/>
        <w:jc w:val="both"/>
        <w:rPr>
          <w:sz w:val="24"/>
          <w:szCs w:val="24"/>
        </w:rPr>
      </w:pPr>
      <w:r w:rsidRPr="00297325">
        <w:rPr>
          <w:sz w:val="24"/>
          <w:szCs w:val="24"/>
        </w:rPr>
        <w:t>повышение энергетической эффективности систем коммунальной инфраструктуры</w:t>
      </w:r>
      <w:r w:rsidR="007969A4" w:rsidRPr="00297325">
        <w:rPr>
          <w:sz w:val="24"/>
          <w:szCs w:val="24"/>
        </w:rPr>
        <w:t xml:space="preserve">. </w:t>
      </w:r>
    </w:p>
    <w:p w:rsidR="00B11EE2" w:rsidRPr="00297325" w:rsidRDefault="00EB3548" w:rsidP="00297325">
      <w:pPr>
        <w:pStyle w:val="a6"/>
        <w:numPr>
          <w:ilvl w:val="0"/>
          <w:numId w:val="2"/>
        </w:numPr>
        <w:jc w:val="both"/>
        <w:rPr>
          <w:sz w:val="24"/>
          <w:szCs w:val="24"/>
        </w:rPr>
      </w:pPr>
      <w:r w:rsidRPr="00297325">
        <w:rPr>
          <w:sz w:val="24"/>
          <w:szCs w:val="24"/>
        </w:rPr>
        <w:t>модернизация систем наружного освещения</w:t>
      </w:r>
      <w:r w:rsidR="00B11EE2" w:rsidRPr="00297325">
        <w:rPr>
          <w:sz w:val="24"/>
          <w:szCs w:val="24"/>
        </w:rPr>
        <w:t>;</w:t>
      </w:r>
    </w:p>
    <w:p w:rsidR="005A7044" w:rsidRPr="00297325" w:rsidRDefault="00EB3548" w:rsidP="00297325">
      <w:pPr>
        <w:pStyle w:val="a6"/>
        <w:widowControl w:val="0"/>
        <w:numPr>
          <w:ilvl w:val="0"/>
          <w:numId w:val="2"/>
        </w:numPr>
        <w:autoSpaceDE w:val="0"/>
        <w:autoSpaceDN w:val="0"/>
        <w:adjustRightInd w:val="0"/>
        <w:jc w:val="both"/>
        <w:rPr>
          <w:b/>
          <w:bCs/>
          <w:sz w:val="24"/>
          <w:szCs w:val="24"/>
        </w:rPr>
      </w:pPr>
      <w:r w:rsidRPr="00297325">
        <w:rPr>
          <w:bCs/>
          <w:sz w:val="24"/>
          <w:szCs w:val="24"/>
        </w:rPr>
        <w:t>повышение энергетической эффективности в транспортном комплексе</w:t>
      </w:r>
    </w:p>
    <w:p w:rsidR="00EB3548" w:rsidRDefault="00EB3548" w:rsidP="00297325">
      <w:pPr>
        <w:rPr>
          <w:b/>
          <w:sz w:val="24"/>
          <w:szCs w:val="24"/>
        </w:rPr>
      </w:pPr>
    </w:p>
    <w:p w:rsidR="00B11EE2" w:rsidRDefault="00297325" w:rsidP="00297325">
      <w:pPr>
        <w:ind w:firstLine="709"/>
        <w:rPr>
          <w:b/>
          <w:sz w:val="24"/>
          <w:szCs w:val="24"/>
        </w:rPr>
      </w:pPr>
      <w:r>
        <w:rPr>
          <w:b/>
          <w:sz w:val="24"/>
          <w:szCs w:val="24"/>
        </w:rPr>
        <w:t xml:space="preserve">3 </w:t>
      </w:r>
      <w:r w:rsidR="00B11EE2" w:rsidRPr="00C11F34">
        <w:rPr>
          <w:b/>
          <w:sz w:val="24"/>
          <w:szCs w:val="24"/>
        </w:rPr>
        <w:t xml:space="preserve">Характеристика проблем </w:t>
      </w:r>
      <w:bookmarkStart w:id="0" w:name="_GoBack"/>
      <w:bookmarkEnd w:id="0"/>
      <w:r w:rsidR="00B11EE2" w:rsidRPr="00C11F34">
        <w:rPr>
          <w:b/>
          <w:sz w:val="24"/>
          <w:szCs w:val="24"/>
        </w:rPr>
        <w:t>и мероприятий подпрограммы</w:t>
      </w:r>
    </w:p>
    <w:p w:rsidR="00B11EE2" w:rsidRDefault="00B11EE2" w:rsidP="00297325">
      <w:pPr>
        <w:widowControl w:val="0"/>
        <w:autoSpaceDE w:val="0"/>
        <w:autoSpaceDN w:val="0"/>
        <w:adjustRightInd w:val="0"/>
        <w:jc w:val="both"/>
      </w:pPr>
    </w:p>
    <w:p w:rsidR="00297325" w:rsidRDefault="00B11EE2" w:rsidP="00297325">
      <w:pPr>
        <w:widowControl w:val="0"/>
        <w:autoSpaceDE w:val="0"/>
        <w:autoSpaceDN w:val="0"/>
        <w:adjustRightInd w:val="0"/>
        <w:ind w:firstLine="709"/>
        <w:jc w:val="both"/>
        <w:rPr>
          <w:sz w:val="24"/>
          <w:szCs w:val="24"/>
        </w:rPr>
      </w:pPr>
      <w:r w:rsidRPr="003E386C">
        <w:rPr>
          <w:sz w:val="24"/>
          <w:szCs w:val="24"/>
        </w:rPr>
        <w:t xml:space="preserve">В Энергетической </w:t>
      </w:r>
      <w:hyperlink r:id="rId8" w:history="1">
        <w:r w:rsidRPr="00622250">
          <w:rPr>
            <w:sz w:val="24"/>
            <w:szCs w:val="24"/>
          </w:rPr>
          <w:t>стратегии</w:t>
        </w:r>
      </w:hyperlink>
      <w:r w:rsidRPr="00622250">
        <w:rPr>
          <w:sz w:val="24"/>
          <w:szCs w:val="24"/>
        </w:rPr>
        <w:t xml:space="preserve"> </w:t>
      </w:r>
      <w:r w:rsidRPr="003E386C">
        <w:rPr>
          <w:sz w:val="24"/>
          <w:szCs w:val="24"/>
        </w:rPr>
        <w:t>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297325" w:rsidRDefault="00B11EE2" w:rsidP="00297325">
      <w:pPr>
        <w:widowControl w:val="0"/>
        <w:autoSpaceDE w:val="0"/>
        <w:autoSpaceDN w:val="0"/>
        <w:adjustRightInd w:val="0"/>
        <w:ind w:firstLine="709"/>
        <w:jc w:val="both"/>
        <w:rPr>
          <w:sz w:val="24"/>
          <w:szCs w:val="24"/>
        </w:rPr>
      </w:pPr>
      <w:r w:rsidRPr="003E386C">
        <w:rPr>
          <w:sz w:val="24"/>
          <w:szCs w:val="24"/>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297325" w:rsidRDefault="00B11EE2" w:rsidP="00297325">
      <w:pPr>
        <w:widowControl w:val="0"/>
        <w:autoSpaceDE w:val="0"/>
        <w:autoSpaceDN w:val="0"/>
        <w:adjustRightInd w:val="0"/>
        <w:ind w:firstLine="709"/>
        <w:jc w:val="both"/>
        <w:rPr>
          <w:sz w:val="24"/>
          <w:szCs w:val="24"/>
        </w:rPr>
      </w:pPr>
      <w:r w:rsidRPr="003E386C">
        <w:rPr>
          <w:sz w:val="24"/>
          <w:szCs w:val="24"/>
        </w:rPr>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B11EE2" w:rsidRPr="00297325" w:rsidRDefault="00B11EE2" w:rsidP="00297325">
      <w:pPr>
        <w:pStyle w:val="a6"/>
        <w:widowControl w:val="0"/>
        <w:numPr>
          <w:ilvl w:val="0"/>
          <w:numId w:val="3"/>
        </w:numPr>
        <w:autoSpaceDE w:val="0"/>
        <w:autoSpaceDN w:val="0"/>
        <w:adjustRightInd w:val="0"/>
        <w:jc w:val="both"/>
        <w:rPr>
          <w:sz w:val="24"/>
          <w:szCs w:val="24"/>
        </w:rPr>
      </w:pPr>
      <w:r w:rsidRPr="00297325">
        <w:rPr>
          <w:sz w:val="24"/>
          <w:szCs w:val="24"/>
        </w:rPr>
        <w:t>жилые здания - 18-19 процентов;</w:t>
      </w:r>
    </w:p>
    <w:p w:rsidR="00B11EE2" w:rsidRPr="00297325" w:rsidRDefault="00B11EE2" w:rsidP="00297325">
      <w:pPr>
        <w:pStyle w:val="a6"/>
        <w:widowControl w:val="0"/>
        <w:numPr>
          <w:ilvl w:val="0"/>
          <w:numId w:val="3"/>
        </w:numPr>
        <w:autoSpaceDE w:val="0"/>
        <w:autoSpaceDN w:val="0"/>
        <w:adjustRightInd w:val="0"/>
        <w:jc w:val="both"/>
        <w:rPr>
          <w:sz w:val="24"/>
          <w:szCs w:val="24"/>
        </w:rPr>
      </w:pPr>
      <w:r w:rsidRPr="00297325">
        <w:rPr>
          <w:sz w:val="24"/>
          <w:szCs w:val="24"/>
        </w:rPr>
        <w:t>электроэнергетика, промышленность, транспорт - в каждом случае в диапазоне от 13 до 15 процентов;</w:t>
      </w:r>
    </w:p>
    <w:p w:rsidR="00B11EE2" w:rsidRPr="00297325" w:rsidRDefault="00B11EE2" w:rsidP="00297325">
      <w:pPr>
        <w:pStyle w:val="a6"/>
        <w:widowControl w:val="0"/>
        <w:numPr>
          <w:ilvl w:val="0"/>
          <w:numId w:val="3"/>
        </w:numPr>
        <w:autoSpaceDE w:val="0"/>
        <w:autoSpaceDN w:val="0"/>
        <w:adjustRightInd w:val="0"/>
        <w:jc w:val="both"/>
        <w:rPr>
          <w:sz w:val="24"/>
          <w:szCs w:val="24"/>
        </w:rPr>
      </w:pPr>
      <w:r w:rsidRPr="00297325">
        <w:rPr>
          <w:sz w:val="24"/>
          <w:szCs w:val="24"/>
        </w:rPr>
        <w:t>теплоснабжение, оказание услуг, строительство - в каждом случае в диапазоне от 9 до 10 процентов;</w:t>
      </w:r>
    </w:p>
    <w:p w:rsidR="00B11EE2" w:rsidRPr="00297325" w:rsidRDefault="00B11EE2" w:rsidP="00297325">
      <w:pPr>
        <w:pStyle w:val="a6"/>
        <w:widowControl w:val="0"/>
        <w:numPr>
          <w:ilvl w:val="0"/>
          <w:numId w:val="3"/>
        </w:numPr>
        <w:autoSpaceDE w:val="0"/>
        <w:autoSpaceDN w:val="0"/>
        <w:adjustRightInd w:val="0"/>
        <w:jc w:val="both"/>
        <w:rPr>
          <w:sz w:val="24"/>
          <w:szCs w:val="24"/>
        </w:rPr>
      </w:pPr>
      <w:r w:rsidRPr="00297325">
        <w:rPr>
          <w:sz w:val="24"/>
          <w:szCs w:val="24"/>
        </w:rPr>
        <w:t>энергоснабжение государственных учреждений - в диапазоне от 5 до 6 процентов.</w:t>
      </w:r>
    </w:p>
    <w:p w:rsidR="00297325" w:rsidRDefault="00B11EE2" w:rsidP="00297325">
      <w:pPr>
        <w:widowControl w:val="0"/>
        <w:autoSpaceDE w:val="0"/>
        <w:autoSpaceDN w:val="0"/>
        <w:adjustRightInd w:val="0"/>
        <w:ind w:firstLine="709"/>
        <w:jc w:val="both"/>
        <w:rPr>
          <w:sz w:val="24"/>
          <w:szCs w:val="24"/>
        </w:rPr>
      </w:pPr>
      <w:r w:rsidRPr="003E386C">
        <w:rPr>
          <w:sz w:val="24"/>
          <w:szCs w:val="24"/>
        </w:rPr>
        <w:t xml:space="preserve">Учитывая, что в настоящее время Московская область является </w:t>
      </w:r>
      <w:proofErr w:type="spellStart"/>
      <w:r w:rsidRPr="003E386C">
        <w:rPr>
          <w:sz w:val="24"/>
          <w:szCs w:val="24"/>
        </w:rPr>
        <w:t>энергодефицитным</w:t>
      </w:r>
      <w:proofErr w:type="spellEnd"/>
      <w:r w:rsidRPr="003E386C">
        <w:rPr>
          <w:sz w:val="24"/>
          <w:szCs w:val="24"/>
        </w:rPr>
        <w:t xml:space="preserve"> регионом, решение вопросов повышения энергоэффективности региональной экономики имеет приоритетное значение.</w:t>
      </w:r>
    </w:p>
    <w:p w:rsidR="00297325" w:rsidRDefault="00B11EE2" w:rsidP="00297325">
      <w:pPr>
        <w:widowControl w:val="0"/>
        <w:autoSpaceDE w:val="0"/>
        <w:autoSpaceDN w:val="0"/>
        <w:adjustRightInd w:val="0"/>
        <w:ind w:firstLine="709"/>
        <w:jc w:val="both"/>
        <w:rPr>
          <w:sz w:val="24"/>
          <w:szCs w:val="24"/>
        </w:rPr>
      </w:pPr>
      <w:r w:rsidRPr="003E386C">
        <w:rPr>
          <w:sz w:val="24"/>
          <w:szCs w:val="24"/>
        </w:rPr>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8971B5" w:rsidRPr="000E307F" w:rsidRDefault="008971B5" w:rsidP="00297325">
      <w:pPr>
        <w:widowControl w:val="0"/>
        <w:autoSpaceDE w:val="0"/>
        <w:autoSpaceDN w:val="0"/>
        <w:adjustRightInd w:val="0"/>
        <w:ind w:firstLine="709"/>
        <w:jc w:val="both"/>
        <w:rPr>
          <w:sz w:val="24"/>
          <w:szCs w:val="24"/>
        </w:rPr>
      </w:pPr>
      <w:r w:rsidRPr="000E307F">
        <w:rPr>
          <w:sz w:val="24"/>
          <w:szCs w:val="24"/>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8971B5" w:rsidRPr="000E307F" w:rsidRDefault="008971B5" w:rsidP="00297325">
      <w:pPr>
        <w:pStyle w:val="a4"/>
        <w:numPr>
          <w:ilvl w:val="0"/>
          <w:numId w:val="4"/>
        </w:numPr>
        <w:jc w:val="both"/>
        <w:rPr>
          <w:sz w:val="24"/>
          <w:szCs w:val="24"/>
        </w:rPr>
      </w:pPr>
      <w:r w:rsidRPr="000E307F">
        <w:rPr>
          <w:sz w:val="24"/>
          <w:szCs w:val="24"/>
        </w:rPr>
        <w:t>выявления потенциала энергосбережения;</w:t>
      </w:r>
    </w:p>
    <w:p w:rsidR="008971B5" w:rsidRPr="000E307F" w:rsidRDefault="008971B5" w:rsidP="00297325">
      <w:pPr>
        <w:pStyle w:val="a4"/>
        <w:numPr>
          <w:ilvl w:val="0"/>
          <w:numId w:val="4"/>
        </w:numPr>
        <w:jc w:val="both"/>
        <w:rPr>
          <w:sz w:val="24"/>
          <w:szCs w:val="24"/>
        </w:rPr>
      </w:pPr>
      <w:r w:rsidRPr="000E307F">
        <w:rPr>
          <w:sz w:val="24"/>
          <w:szCs w:val="24"/>
        </w:rPr>
        <w:t>определения основных энергосберегающих мероприятий;</w:t>
      </w:r>
    </w:p>
    <w:p w:rsidR="00297325" w:rsidRDefault="008971B5" w:rsidP="00297325">
      <w:pPr>
        <w:pStyle w:val="a4"/>
        <w:numPr>
          <w:ilvl w:val="0"/>
          <w:numId w:val="4"/>
        </w:numPr>
        <w:jc w:val="both"/>
        <w:rPr>
          <w:sz w:val="24"/>
          <w:szCs w:val="24"/>
        </w:rPr>
      </w:pPr>
      <w:r w:rsidRPr="000E307F">
        <w:rPr>
          <w:sz w:val="24"/>
          <w:szCs w:val="24"/>
        </w:rPr>
        <w:lastRenderedPageBreak/>
        <w:t>определения  объектов  бюджетной  сферы,  на  которых  в первую очередь необходимо проводить энергосберегающие мероприятия;</w:t>
      </w:r>
    </w:p>
    <w:p w:rsidR="008971B5" w:rsidRPr="000E307F" w:rsidRDefault="008971B5" w:rsidP="00297325">
      <w:pPr>
        <w:pStyle w:val="a4"/>
        <w:numPr>
          <w:ilvl w:val="0"/>
          <w:numId w:val="4"/>
        </w:numPr>
        <w:jc w:val="both"/>
        <w:rPr>
          <w:sz w:val="24"/>
          <w:szCs w:val="24"/>
        </w:rPr>
      </w:pPr>
      <w:r w:rsidRPr="000E307F">
        <w:rPr>
          <w:sz w:val="24"/>
          <w:szCs w:val="24"/>
        </w:rPr>
        <w:t>установления    нормативных    показателей    энергопотребления  (</w:t>
      </w:r>
      <w:proofErr w:type="spellStart"/>
      <w:r w:rsidRPr="000E307F">
        <w:rPr>
          <w:sz w:val="24"/>
          <w:szCs w:val="24"/>
        </w:rPr>
        <w:t>лимитирования</w:t>
      </w:r>
      <w:proofErr w:type="spellEnd"/>
      <w:r w:rsidRPr="000E307F">
        <w:rPr>
          <w:sz w:val="24"/>
          <w:szCs w:val="24"/>
        </w:rPr>
        <w:t xml:space="preserve"> энергопотребления).</w:t>
      </w:r>
    </w:p>
    <w:p w:rsidR="00297325" w:rsidRDefault="00362800" w:rsidP="00297325">
      <w:pPr>
        <w:ind w:firstLine="709"/>
        <w:jc w:val="both"/>
        <w:rPr>
          <w:sz w:val="24"/>
          <w:szCs w:val="24"/>
        </w:rPr>
      </w:pPr>
      <w:r w:rsidRPr="00362800">
        <w:rPr>
          <w:sz w:val="24"/>
          <w:szCs w:val="24"/>
        </w:rPr>
        <w:t xml:space="preserve">Для выполнения данной задачи </w:t>
      </w:r>
      <w:r>
        <w:rPr>
          <w:sz w:val="24"/>
          <w:szCs w:val="24"/>
        </w:rPr>
        <w:t>была организована</w:t>
      </w:r>
      <w:r w:rsidRPr="00362800">
        <w:rPr>
          <w:sz w:val="24"/>
          <w:szCs w:val="24"/>
        </w:rPr>
        <w:t xml:space="preserve"> работ</w:t>
      </w:r>
      <w:r>
        <w:rPr>
          <w:sz w:val="24"/>
          <w:szCs w:val="24"/>
        </w:rPr>
        <w:t>а</w:t>
      </w:r>
      <w:r w:rsidRPr="00362800">
        <w:rPr>
          <w:sz w:val="24"/>
          <w:szCs w:val="24"/>
        </w:rPr>
        <w:t xml:space="preserve"> по</w:t>
      </w:r>
      <w:r>
        <w:rPr>
          <w:sz w:val="24"/>
          <w:szCs w:val="24"/>
        </w:rPr>
        <w:t xml:space="preserve"> </w:t>
      </w:r>
      <w:r w:rsidRPr="00362800">
        <w:rPr>
          <w:sz w:val="24"/>
          <w:szCs w:val="24"/>
        </w:rPr>
        <w:t>проведению энергетических  обследований, составлению энергетических паспортов во всех органах местного самоуправления, муниципальных учреждениях</w:t>
      </w:r>
      <w:r>
        <w:rPr>
          <w:sz w:val="24"/>
          <w:szCs w:val="24"/>
        </w:rPr>
        <w:t>. Особенно</w:t>
      </w:r>
      <w:r w:rsidR="008971B5">
        <w:rPr>
          <w:sz w:val="24"/>
          <w:szCs w:val="24"/>
        </w:rPr>
        <w:t>,</w:t>
      </w:r>
      <w:r>
        <w:rPr>
          <w:sz w:val="24"/>
          <w:szCs w:val="24"/>
        </w:rPr>
        <w:t xml:space="preserve"> данная работа была активизирована в последние годы. При существующем темпе выполнения мероприятий по проведению энергетических обследований в организациях бюджетной сферы  вышеуказанная работа будет закончена в 2015 году.</w:t>
      </w:r>
    </w:p>
    <w:p w:rsidR="00297325" w:rsidRDefault="00362800" w:rsidP="00297325">
      <w:pPr>
        <w:ind w:firstLine="709"/>
        <w:jc w:val="both"/>
        <w:rPr>
          <w:sz w:val="24"/>
          <w:szCs w:val="24"/>
        </w:rPr>
      </w:pPr>
      <w:r>
        <w:rPr>
          <w:sz w:val="24"/>
          <w:szCs w:val="24"/>
        </w:rPr>
        <w:t xml:space="preserve">Большая работа проделана по </w:t>
      </w:r>
      <w:r w:rsidRPr="00362800">
        <w:rPr>
          <w:sz w:val="24"/>
          <w:szCs w:val="24"/>
        </w:rPr>
        <w:t>осна</w:t>
      </w:r>
      <w:r w:rsidR="00927DB0">
        <w:rPr>
          <w:sz w:val="24"/>
          <w:szCs w:val="24"/>
        </w:rPr>
        <w:t>щению</w:t>
      </w:r>
      <w:r w:rsidRPr="00362800">
        <w:rPr>
          <w:sz w:val="24"/>
          <w:szCs w:val="24"/>
        </w:rPr>
        <w:t xml:space="preserve"> приборами учета </w:t>
      </w:r>
      <w:r w:rsidR="00927DB0">
        <w:rPr>
          <w:sz w:val="24"/>
          <w:szCs w:val="24"/>
        </w:rPr>
        <w:t>энергетических</w:t>
      </w:r>
      <w:r w:rsidRPr="00362800">
        <w:rPr>
          <w:sz w:val="24"/>
          <w:szCs w:val="24"/>
        </w:rPr>
        <w:t xml:space="preserve"> ресурсов  все</w:t>
      </w:r>
      <w:r w:rsidR="00927DB0">
        <w:rPr>
          <w:sz w:val="24"/>
          <w:szCs w:val="24"/>
        </w:rPr>
        <w:t>х</w:t>
      </w:r>
      <w:r w:rsidRPr="00362800">
        <w:rPr>
          <w:sz w:val="24"/>
          <w:szCs w:val="24"/>
        </w:rPr>
        <w:t xml:space="preserve"> здани</w:t>
      </w:r>
      <w:r w:rsidR="00927DB0">
        <w:rPr>
          <w:sz w:val="24"/>
          <w:szCs w:val="24"/>
        </w:rPr>
        <w:t>й</w:t>
      </w:r>
      <w:r w:rsidRPr="00362800">
        <w:rPr>
          <w:sz w:val="24"/>
          <w:szCs w:val="24"/>
        </w:rPr>
        <w:t>, где функционируют органы местного самоуправления, муниципальные учреждения и пере</w:t>
      </w:r>
      <w:r w:rsidR="00927DB0">
        <w:rPr>
          <w:sz w:val="24"/>
          <w:szCs w:val="24"/>
        </w:rPr>
        <w:t>ходу</w:t>
      </w:r>
      <w:r w:rsidRPr="00362800">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sidR="00927DB0">
        <w:rPr>
          <w:sz w:val="24"/>
          <w:szCs w:val="24"/>
        </w:rPr>
        <w:t xml:space="preserve"> Определение </w:t>
      </w:r>
      <w:r w:rsidR="008971B5">
        <w:rPr>
          <w:sz w:val="24"/>
          <w:szCs w:val="24"/>
        </w:rPr>
        <w:t>ф</w:t>
      </w:r>
      <w:r w:rsidR="00927DB0">
        <w:rPr>
          <w:sz w:val="24"/>
          <w:szCs w:val="24"/>
        </w:rPr>
        <w:t>актического</w:t>
      </w:r>
      <w:r w:rsidR="008971B5">
        <w:rPr>
          <w:sz w:val="24"/>
          <w:szCs w:val="24"/>
        </w:rPr>
        <w:t xml:space="preserve"> значения потребленных энергоресурсов в бюджетных организациях помогло снизить потребление данных ресурсов за последние пять лет на 15 %. Тем самым позволило достичь показателей,  </w:t>
      </w:r>
      <w:r w:rsidR="008971B5" w:rsidRPr="005D38E3">
        <w:rPr>
          <w:sz w:val="24"/>
          <w:szCs w:val="24"/>
        </w:rPr>
        <w:t>установленны</w:t>
      </w:r>
      <w:r w:rsidR="008971B5">
        <w:rPr>
          <w:sz w:val="24"/>
          <w:szCs w:val="24"/>
        </w:rPr>
        <w:t>х</w:t>
      </w:r>
      <w:r w:rsidR="008971B5" w:rsidRPr="005D38E3">
        <w:rPr>
          <w:sz w:val="24"/>
          <w:szCs w:val="24"/>
        </w:rPr>
        <w:t xml:space="preserve">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971B5">
        <w:rPr>
          <w:sz w:val="24"/>
          <w:szCs w:val="24"/>
        </w:rPr>
        <w:t>.</w:t>
      </w:r>
    </w:p>
    <w:p w:rsidR="00297325" w:rsidRDefault="00B11EE2" w:rsidP="00297325">
      <w:pPr>
        <w:ind w:firstLine="709"/>
        <w:jc w:val="both"/>
        <w:rPr>
          <w:sz w:val="24"/>
          <w:szCs w:val="24"/>
        </w:rPr>
      </w:pPr>
      <w:r w:rsidRPr="0001562E">
        <w:rPr>
          <w:sz w:val="24"/>
          <w:szCs w:val="24"/>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01562E">
        <w:rPr>
          <w:sz w:val="24"/>
          <w:szCs w:val="24"/>
        </w:rPr>
        <w:t>тепловизионного</w:t>
      </w:r>
      <w:proofErr w:type="spellEnd"/>
      <w:r w:rsidRPr="0001562E">
        <w:rPr>
          <w:sz w:val="24"/>
          <w:szCs w:val="24"/>
        </w:rPr>
        <w:t xml:space="preserve"> контроля ограждающих конструкций зданий показывают, что общие </w:t>
      </w:r>
      <w:proofErr w:type="spellStart"/>
      <w:r w:rsidRPr="0001562E">
        <w:rPr>
          <w:sz w:val="24"/>
          <w:szCs w:val="24"/>
        </w:rPr>
        <w:t>теплопотери</w:t>
      </w:r>
      <w:proofErr w:type="spellEnd"/>
      <w:r w:rsidRPr="0001562E">
        <w:rPr>
          <w:sz w:val="24"/>
          <w:szCs w:val="24"/>
        </w:rP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EE244E" w:rsidRPr="00CA414C" w:rsidRDefault="00EE244E" w:rsidP="00297325">
      <w:pPr>
        <w:ind w:firstLine="709"/>
        <w:jc w:val="both"/>
        <w:rPr>
          <w:sz w:val="24"/>
          <w:szCs w:val="24"/>
        </w:rPr>
      </w:pPr>
      <w:r w:rsidRPr="00CA414C">
        <w:rPr>
          <w:sz w:val="24"/>
          <w:szCs w:val="24"/>
        </w:rP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CA414C">
        <w:rPr>
          <w:sz w:val="24"/>
          <w:szCs w:val="24"/>
        </w:rPr>
        <w:t>Теплопотери</w:t>
      </w:r>
      <w:proofErr w:type="spellEnd"/>
      <w:r w:rsidRPr="00CA414C">
        <w:rPr>
          <w:sz w:val="24"/>
          <w:szCs w:val="24"/>
        </w:rPr>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CA414C">
        <w:rPr>
          <w:sz w:val="24"/>
          <w:szCs w:val="24"/>
        </w:rPr>
        <w:t>теплопотери</w:t>
      </w:r>
      <w:proofErr w:type="spellEnd"/>
      <w:r w:rsidRPr="00CA414C">
        <w:rPr>
          <w:sz w:val="24"/>
          <w:szCs w:val="24"/>
        </w:rPr>
        <w:t xml:space="preserve"> в зданиях происходят через наружные стеновые ограждения (42 и 49% для пяти- и девятиэтажных зданий) и окна (32 и 35% соответственно). </w:t>
      </w:r>
      <w:proofErr w:type="gramStart"/>
      <w:r w:rsidRPr="00CA414C">
        <w:rPr>
          <w:sz w:val="24"/>
          <w:szCs w:val="24"/>
        </w:rPr>
        <w:t>Дополнительные</w:t>
      </w:r>
      <w:proofErr w:type="gramEnd"/>
      <w:r w:rsidRPr="00CA414C">
        <w:rPr>
          <w:sz w:val="24"/>
          <w:szCs w:val="24"/>
        </w:rPr>
        <w:t xml:space="preserve"> </w:t>
      </w:r>
      <w:proofErr w:type="spellStart"/>
      <w:r w:rsidRPr="00CA414C">
        <w:rPr>
          <w:sz w:val="24"/>
          <w:szCs w:val="24"/>
        </w:rPr>
        <w:t>теплопотери</w:t>
      </w:r>
      <w:proofErr w:type="spellEnd"/>
      <w:r w:rsidRPr="00CA414C">
        <w:rPr>
          <w:sz w:val="24"/>
          <w:szCs w:val="24"/>
        </w:rP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297325" w:rsidRDefault="00297325"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1A61F9" w:rsidRDefault="001A61F9" w:rsidP="00297325">
      <w:pPr>
        <w:ind w:firstLine="720"/>
        <w:jc w:val="both"/>
        <w:rPr>
          <w:sz w:val="24"/>
          <w:szCs w:val="24"/>
        </w:rPr>
      </w:pPr>
    </w:p>
    <w:p w:rsidR="00B11EE2" w:rsidRPr="0001562E" w:rsidRDefault="00B11EE2" w:rsidP="001A61F9">
      <w:pPr>
        <w:spacing w:line="276" w:lineRule="auto"/>
        <w:ind w:firstLine="720"/>
        <w:jc w:val="both"/>
        <w:rPr>
          <w:sz w:val="24"/>
          <w:szCs w:val="24"/>
        </w:rPr>
      </w:pPr>
      <w:r w:rsidRPr="0001562E">
        <w:rPr>
          <w:sz w:val="24"/>
          <w:szCs w:val="24"/>
        </w:rPr>
        <w:lastRenderedPageBreak/>
        <w:t xml:space="preserve"> Объём </w:t>
      </w:r>
      <w:r>
        <w:rPr>
          <w:sz w:val="24"/>
          <w:szCs w:val="24"/>
        </w:rPr>
        <w:t xml:space="preserve">отпуска </w:t>
      </w:r>
      <w:r w:rsidRPr="0001562E">
        <w:rPr>
          <w:sz w:val="24"/>
          <w:szCs w:val="24"/>
        </w:rPr>
        <w:t xml:space="preserve"> </w:t>
      </w:r>
      <w:r w:rsidRPr="003202A9">
        <w:rPr>
          <w:sz w:val="24"/>
          <w:szCs w:val="24"/>
        </w:rPr>
        <w:t>топливно-энергетических ресурсов и воды</w:t>
      </w:r>
      <w:r w:rsidRPr="0001562E">
        <w:rPr>
          <w:sz w:val="24"/>
          <w:szCs w:val="24"/>
        </w:rPr>
        <w:t xml:space="preserve"> на территории городского округа характеризуется следующими цифрами: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1777"/>
        <w:gridCol w:w="528"/>
        <w:gridCol w:w="1095"/>
        <w:gridCol w:w="1474"/>
        <w:gridCol w:w="1822"/>
        <w:gridCol w:w="966"/>
        <w:gridCol w:w="1474"/>
        <w:gridCol w:w="1822"/>
        <w:gridCol w:w="1095"/>
        <w:gridCol w:w="1474"/>
        <w:gridCol w:w="1822"/>
      </w:tblGrid>
      <w:tr w:rsidR="00B11EE2" w:rsidRPr="0001562E" w:rsidTr="00297325">
        <w:trPr>
          <w:tblHeader/>
        </w:trPr>
        <w:tc>
          <w:tcPr>
            <w:tcW w:w="0" w:type="auto"/>
            <w:vMerge w:val="restart"/>
            <w:tcMar>
              <w:left w:w="28" w:type="dxa"/>
              <w:right w:w="28" w:type="dxa"/>
            </w:tcMar>
            <w:vAlign w:val="center"/>
          </w:tcPr>
          <w:p w:rsidR="00B11EE2" w:rsidRPr="00103FBC" w:rsidRDefault="00B11EE2" w:rsidP="00297325">
            <w:pPr>
              <w:jc w:val="center"/>
              <w:rPr>
                <w:sz w:val="22"/>
                <w:szCs w:val="22"/>
              </w:rPr>
            </w:pPr>
            <w:r w:rsidRPr="00103FBC">
              <w:rPr>
                <w:sz w:val="22"/>
                <w:szCs w:val="22"/>
              </w:rPr>
              <w:t>№ п/п</w:t>
            </w:r>
          </w:p>
        </w:tc>
        <w:tc>
          <w:tcPr>
            <w:tcW w:w="0" w:type="auto"/>
            <w:vMerge w:val="restart"/>
            <w:tcMar>
              <w:left w:w="28" w:type="dxa"/>
              <w:right w:w="28" w:type="dxa"/>
            </w:tcMar>
            <w:vAlign w:val="center"/>
          </w:tcPr>
          <w:p w:rsidR="00B11EE2" w:rsidRPr="00103FBC" w:rsidRDefault="00B11EE2" w:rsidP="00297325">
            <w:pPr>
              <w:jc w:val="center"/>
              <w:rPr>
                <w:sz w:val="22"/>
                <w:szCs w:val="22"/>
              </w:rPr>
            </w:pPr>
            <w:r w:rsidRPr="00103FBC">
              <w:rPr>
                <w:sz w:val="22"/>
                <w:szCs w:val="22"/>
              </w:rPr>
              <w:t>Вид коммунального ресурса</w:t>
            </w:r>
          </w:p>
        </w:tc>
        <w:tc>
          <w:tcPr>
            <w:tcW w:w="0" w:type="auto"/>
            <w:vMerge w:val="restart"/>
            <w:tcMar>
              <w:left w:w="28" w:type="dxa"/>
              <w:right w:w="28" w:type="dxa"/>
            </w:tcMar>
            <w:vAlign w:val="center"/>
          </w:tcPr>
          <w:p w:rsidR="00B11EE2" w:rsidRPr="00103FBC" w:rsidRDefault="00B11EE2" w:rsidP="00297325">
            <w:pPr>
              <w:jc w:val="center"/>
              <w:rPr>
                <w:sz w:val="22"/>
                <w:szCs w:val="22"/>
              </w:rPr>
            </w:pPr>
            <w:r w:rsidRPr="00103FBC">
              <w:rPr>
                <w:sz w:val="22"/>
                <w:szCs w:val="22"/>
              </w:rPr>
              <w:t>Ед.</w:t>
            </w:r>
          </w:p>
          <w:p w:rsidR="00B11EE2" w:rsidRPr="00103FBC" w:rsidRDefault="00B11EE2" w:rsidP="00297325">
            <w:pPr>
              <w:jc w:val="center"/>
              <w:rPr>
                <w:sz w:val="22"/>
                <w:szCs w:val="22"/>
              </w:rPr>
            </w:pPr>
            <w:r w:rsidRPr="00103FBC">
              <w:rPr>
                <w:sz w:val="22"/>
                <w:szCs w:val="22"/>
              </w:rPr>
              <w:t>изм.</w:t>
            </w:r>
          </w:p>
        </w:tc>
        <w:tc>
          <w:tcPr>
            <w:tcW w:w="0" w:type="auto"/>
            <w:gridSpan w:val="3"/>
            <w:tcMar>
              <w:left w:w="28" w:type="dxa"/>
              <w:right w:w="28" w:type="dxa"/>
            </w:tcMar>
            <w:vAlign w:val="center"/>
          </w:tcPr>
          <w:p w:rsidR="00B11EE2" w:rsidRPr="00103FBC" w:rsidRDefault="00B11EE2" w:rsidP="00297325">
            <w:pPr>
              <w:jc w:val="center"/>
              <w:rPr>
                <w:sz w:val="22"/>
                <w:szCs w:val="22"/>
              </w:rPr>
            </w:pPr>
            <w:r w:rsidRPr="00103FBC">
              <w:rPr>
                <w:sz w:val="22"/>
                <w:szCs w:val="22"/>
              </w:rPr>
              <w:t>2011 год</w:t>
            </w:r>
          </w:p>
        </w:tc>
        <w:tc>
          <w:tcPr>
            <w:tcW w:w="0" w:type="auto"/>
            <w:gridSpan w:val="3"/>
            <w:tcMar>
              <w:left w:w="28" w:type="dxa"/>
              <w:right w:w="28" w:type="dxa"/>
            </w:tcMar>
            <w:vAlign w:val="center"/>
          </w:tcPr>
          <w:p w:rsidR="00B11EE2" w:rsidRPr="00103FBC" w:rsidRDefault="00B11EE2" w:rsidP="00297325">
            <w:pPr>
              <w:jc w:val="center"/>
              <w:rPr>
                <w:sz w:val="22"/>
                <w:szCs w:val="22"/>
              </w:rPr>
            </w:pPr>
            <w:r w:rsidRPr="00103FBC">
              <w:rPr>
                <w:sz w:val="22"/>
                <w:szCs w:val="22"/>
              </w:rPr>
              <w:t>2012 год</w:t>
            </w:r>
          </w:p>
        </w:tc>
        <w:tc>
          <w:tcPr>
            <w:tcW w:w="0" w:type="auto"/>
            <w:gridSpan w:val="3"/>
            <w:tcMar>
              <w:left w:w="28" w:type="dxa"/>
              <w:right w:w="28" w:type="dxa"/>
            </w:tcMar>
            <w:vAlign w:val="center"/>
          </w:tcPr>
          <w:p w:rsidR="00B11EE2" w:rsidRPr="00103FBC" w:rsidRDefault="00B11EE2" w:rsidP="00297325">
            <w:pPr>
              <w:jc w:val="center"/>
              <w:rPr>
                <w:sz w:val="22"/>
                <w:szCs w:val="22"/>
              </w:rPr>
            </w:pPr>
            <w:r w:rsidRPr="00103FBC">
              <w:rPr>
                <w:sz w:val="22"/>
                <w:szCs w:val="22"/>
              </w:rPr>
              <w:t>2013 год</w:t>
            </w:r>
          </w:p>
        </w:tc>
      </w:tr>
      <w:tr w:rsidR="00B11EE2" w:rsidRPr="0001562E" w:rsidTr="00297325">
        <w:trPr>
          <w:tblHeader/>
        </w:trPr>
        <w:tc>
          <w:tcPr>
            <w:tcW w:w="0" w:type="auto"/>
            <w:vMerge/>
            <w:tcMar>
              <w:left w:w="28" w:type="dxa"/>
              <w:right w:w="28" w:type="dxa"/>
            </w:tcMar>
            <w:vAlign w:val="center"/>
          </w:tcPr>
          <w:p w:rsidR="00B11EE2" w:rsidRPr="00103FBC" w:rsidRDefault="00B11EE2" w:rsidP="00297325">
            <w:pPr>
              <w:jc w:val="center"/>
              <w:rPr>
                <w:sz w:val="22"/>
                <w:szCs w:val="22"/>
              </w:rPr>
            </w:pPr>
          </w:p>
        </w:tc>
        <w:tc>
          <w:tcPr>
            <w:tcW w:w="0" w:type="auto"/>
            <w:vMerge/>
            <w:tcMar>
              <w:left w:w="28" w:type="dxa"/>
              <w:right w:w="28" w:type="dxa"/>
            </w:tcMar>
            <w:vAlign w:val="center"/>
          </w:tcPr>
          <w:p w:rsidR="00B11EE2" w:rsidRPr="00103FBC" w:rsidRDefault="00B11EE2" w:rsidP="00297325">
            <w:pPr>
              <w:jc w:val="center"/>
              <w:rPr>
                <w:sz w:val="22"/>
                <w:szCs w:val="22"/>
              </w:rPr>
            </w:pPr>
          </w:p>
        </w:tc>
        <w:tc>
          <w:tcPr>
            <w:tcW w:w="0" w:type="auto"/>
            <w:vMerge/>
            <w:tcMar>
              <w:left w:w="28" w:type="dxa"/>
              <w:right w:w="28" w:type="dxa"/>
            </w:tcMar>
            <w:vAlign w:val="center"/>
          </w:tcPr>
          <w:p w:rsidR="00B11EE2" w:rsidRPr="00103FBC" w:rsidRDefault="00B11EE2" w:rsidP="00297325">
            <w:pPr>
              <w:jc w:val="center"/>
              <w:rPr>
                <w:sz w:val="22"/>
                <w:szCs w:val="22"/>
              </w:rPr>
            </w:pP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 по приборам учета</w:t>
            </w:r>
          </w:p>
        </w:tc>
        <w:tc>
          <w:tcPr>
            <w:tcW w:w="0" w:type="auto"/>
            <w:vAlign w:val="center"/>
          </w:tcPr>
          <w:p w:rsidR="00B11EE2" w:rsidRPr="00103FBC" w:rsidRDefault="00B11EE2" w:rsidP="00297325">
            <w:pPr>
              <w:jc w:val="center"/>
              <w:rPr>
                <w:sz w:val="22"/>
                <w:szCs w:val="22"/>
              </w:rPr>
            </w:pPr>
            <w:r>
              <w:rPr>
                <w:sz w:val="22"/>
                <w:szCs w:val="22"/>
              </w:rPr>
              <w:t>Доля объема отпуска по приборам учета, %</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 по приборам учета</w:t>
            </w:r>
          </w:p>
        </w:tc>
        <w:tc>
          <w:tcPr>
            <w:tcW w:w="0" w:type="auto"/>
            <w:vAlign w:val="center"/>
          </w:tcPr>
          <w:p w:rsidR="00B11EE2" w:rsidRPr="00103FBC" w:rsidRDefault="00B11EE2" w:rsidP="00297325">
            <w:pPr>
              <w:jc w:val="center"/>
              <w:rPr>
                <w:sz w:val="22"/>
                <w:szCs w:val="22"/>
              </w:rPr>
            </w:pPr>
            <w:r>
              <w:rPr>
                <w:sz w:val="22"/>
                <w:szCs w:val="22"/>
              </w:rPr>
              <w:t>Доля объема отпуска по приборам учета, %</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Объем отпуска по приборам учета</w:t>
            </w:r>
          </w:p>
        </w:tc>
        <w:tc>
          <w:tcPr>
            <w:tcW w:w="0" w:type="auto"/>
            <w:vAlign w:val="center"/>
          </w:tcPr>
          <w:p w:rsidR="00B11EE2" w:rsidRPr="00103FBC" w:rsidRDefault="00B11EE2" w:rsidP="00297325">
            <w:pPr>
              <w:jc w:val="center"/>
              <w:rPr>
                <w:sz w:val="22"/>
                <w:szCs w:val="22"/>
              </w:rPr>
            </w:pPr>
            <w:r>
              <w:rPr>
                <w:sz w:val="22"/>
                <w:szCs w:val="22"/>
              </w:rPr>
              <w:t>Доля объема отпуска по приборам учета, %</w:t>
            </w:r>
          </w:p>
        </w:tc>
      </w:tr>
      <w:tr w:rsidR="00B11EE2" w:rsidRPr="0001562E" w:rsidTr="007969A4">
        <w:trPr>
          <w:cantSplit/>
          <w:trHeight w:val="1352"/>
        </w:trPr>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w:t>
            </w:r>
            <w:r w:rsidRPr="00103FBC">
              <w:rPr>
                <w:sz w:val="22"/>
                <w:szCs w:val="22"/>
              </w:rPr>
              <w:t>.</w:t>
            </w:r>
          </w:p>
        </w:tc>
        <w:tc>
          <w:tcPr>
            <w:tcW w:w="0" w:type="auto"/>
            <w:tcMar>
              <w:left w:w="28" w:type="dxa"/>
              <w:right w:w="28" w:type="dxa"/>
            </w:tcMar>
            <w:vAlign w:val="center"/>
          </w:tcPr>
          <w:p w:rsidR="00B11EE2" w:rsidRPr="00103FBC" w:rsidRDefault="00B11EE2" w:rsidP="00297325">
            <w:pPr>
              <w:rPr>
                <w:sz w:val="22"/>
                <w:szCs w:val="22"/>
              </w:rPr>
            </w:pPr>
            <w:r w:rsidRPr="00103FBC">
              <w:rPr>
                <w:sz w:val="22"/>
                <w:szCs w:val="22"/>
              </w:rPr>
              <w:t>Тепловая энергия</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тыс.</w:t>
            </w:r>
          </w:p>
          <w:p w:rsidR="00B11EE2" w:rsidRPr="00103FBC" w:rsidRDefault="00B11EE2" w:rsidP="00297325">
            <w:pPr>
              <w:jc w:val="center"/>
              <w:rPr>
                <w:sz w:val="22"/>
                <w:szCs w:val="22"/>
              </w:rPr>
            </w:pPr>
            <w:r w:rsidRPr="00103FBC">
              <w:rPr>
                <w:sz w:val="22"/>
                <w:szCs w:val="22"/>
              </w:rPr>
              <w:t>Гкал</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1142403,1</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161255,2</w:t>
            </w:r>
          </w:p>
        </w:tc>
        <w:tc>
          <w:tcPr>
            <w:tcW w:w="0" w:type="auto"/>
            <w:vAlign w:val="center"/>
          </w:tcPr>
          <w:p w:rsidR="00B11EE2" w:rsidRPr="00103FBC" w:rsidRDefault="00B11EE2" w:rsidP="00297325">
            <w:pPr>
              <w:jc w:val="center"/>
              <w:rPr>
                <w:sz w:val="22"/>
                <w:szCs w:val="22"/>
              </w:rPr>
            </w:pPr>
            <w:r>
              <w:rPr>
                <w:sz w:val="22"/>
                <w:szCs w:val="22"/>
              </w:rPr>
              <w:t>14,1</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1239773</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140997,4</w:t>
            </w:r>
          </w:p>
        </w:tc>
        <w:tc>
          <w:tcPr>
            <w:tcW w:w="0" w:type="auto"/>
            <w:vAlign w:val="center"/>
          </w:tcPr>
          <w:p w:rsidR="00B11EE2" w:rsidRPr="00103FBC" w:rsidRDefault="00B11EE2" w:rsidP="00297325">
            <w:pPr>
              <w:jc w:val="center"/>
              <w:rPr>
                <w:sz w:val="22"/>
                <w:szCs w:val="22"/>
              </w:rPr>
            </w:pPr>
            <w:r>
              <w:rPr>
                <w:sz w:val="22"/>
                <w:szCs w:val="22"/>
              </w:rPr>
              <w:t>11,4</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1212288,4</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231563,8</w:t>
            </w:r>
          </w:p>
        </w:tc>
        <w:tc>
          <w:tcPr>
            <w:tcW w:w="0" w:type="auto"/>
            <w:vAlign w:val="center"/>
          </w:tcPr>
          <w:p w:rsidR="00B11EE2" w:rsidRPr="00103FBC" w:rsidRDefault="00B11EE2" w:rsidP="00297325">
            <w:pPr>
              <w:tabs>
                <w:tab w:val="left" w:pos="51"/>
              </w:tabs>
              <w:ind w:right="-111"/>
              <w:jc w:val="center"/>
              <w:rPr>
                <w:sz w:val="22"/>
                <w:szCs w:val="22"/>
              </w:rPr>
            </w:pPr>
            <w:r>
              <w:rPr>
                <w:sz w:val="22"/>
                <w:szCs w:val="22"/>
              </w:rPr>
              <w:t>19,1</w:t>
            </w:r>
          </w:p>
        </w:tc>
      </w:tr>
      <w:tr w:rsidR="00B11EE2" w:rsidRPr="0001562E" w:rsidTr="007969A4">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2</w:t>
            </w:r>
            <w:r w:rsidRPr="00103FBC">
              <w:rPr>
                <w:sz w:val="22"/>
                <w:szCs w:val="22"/>
              </w:rPr>
              <w:t>.</w:t>
            </w:r>
          </w:p>
        </w:tc>
        <w:tc>
          <w:tcPr>
            <w:tcW w:w="0" w:type="auto"/>
            <w:tcMar>
              <w:left w:w="28" w:type="dxa"/>
              <w:right w:w="28" w:type="dxa"/>
            </w:tcMar>
            <w:vAlign w:val="center"/>
          </w:tcPr>
          <w:p w:rsidR="00B11EE2" w:rsidRPr="00103FBC" w:rsidRDefault="00B11EE2" w:rsidP="00297325">
            <w:pPr>
              <w:rPr>
                <w:sz w:val="22"/>
                <w:szCs w:val="22"/>
              </w:rPr>
            </w:pPr>
            <w:r>
              <w:rPr>
                <w:sz w:val="22"/>
                <w:szCs w:val="22"/>
              </w:rPr>
              <w:t>Холодная в</w:t>
            </w:r>
            <w:r w:rsidRPr="00103FBC">
              <w:rPr>
                <w:sz w:val="22"/>
                <w:szCs w:val="22"/>
              </w:rPr>
              <w:t>ода</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тыс.</w:t>
            </w:r>
          </w:p>
          <w:p w:rsidR="00B11EE2" w:rsidRPr="00103FBC" w:rsidRDefault="00B11EE2" w:rsidP="00297325">
            <w:pPr>
              <w:jc w:val="center"/>
              <w:rPr>
                <w:sz w:val="22"/>
                <w:szCs w:val="22"/>
              </w:rPr>
            </w:pPr>
            <w:r w:rsidRPr="00103FBC">
              <w:rPr>
                <w:sz w:val="22"/>
                <w:szCs w:val="22"/>
              </w:rPr>
              <w:t>куб. м</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12972,5</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3616,1</w:t>
            </w:r>
          </w:p>
        </w:tc>
        <w:tc>
          <w:tcPr>
            <w:tcW w:w="0" w:type="auto"/>
            <w:vAlign w:val="center"/>
          </w:tcPr>
          <w:p w:rsidR="00B11EE2" w:rsidRPr="00103FBC" w:rsidRDefault="00B11EE2" w:rsidP="00297325">
            <w:pPr>
              <w:jc w:val="center"/>
              <w:rPr>
                <w:sz w:val="22"/>
                <w:szCs w:val="22"/>
              </w:rPr>
            </w:pPr>
            <w:r>
              <w:rPr>
                <w:sz w:val="22"/>
                <w:szCs w:val="22"/>
              </w:rPr>
              <w:t>27,9</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10302,7</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1871,5</w:t>
            </w:r>
          </w:p>
        </w:tc>
        <w:tc>
          <w:tcPr>
            <w:tcW w:w="0" w:type="auto"/>
            <w:vAlign w:val="center"/>
          </w:tcPr>
          <w:p w:rsidR="00B11EE2" w:rsidRPr="00103FBC" w:rsidRDefault="00B11EE2" w:rsidP="00297325">
            <w:pPr>
              <w:jc w:val="center"/>
              <w:rPr>
                <w:sz w:val="22"/>
                <w:szCs w:val="22"/>
              </w:rPr>
            </w:pPr>
            <w:r>
              <w:rPr>
                <w:sz w:val="22"/>
                <w:szCs w:val="22"/>
              </w:rPr>
              <w:t>18,2</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9872,5</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1703,1</w:t>
            </w:r>
          </w:p>
        </w:tc>
        <w:tc>
          <w:tcPr>
            <w:tcW w:w="0" w:type="auto"/>
            <w:vAlign w:val="center"/>
          </w:tcPr>
          <w:p w:rsidR="00B11EE2" w:rsidRPr="00103FBC" w:rsidRDefault="00B11EE2" w:rsidP="00297325">
            <w:pPr>
              <w:jc w:val="center"/>
              <w:rPr>
                <w:sz w:val="22"/>
                <w:szCs w:val="22"/>
              </w:rPr>
            </w:pPr>
            <w:r>
              <w:rPr>
                <w:sz w:val="22"/>
                <w:szCs w:val="22"/>
              </w:rPr>
              <w:t>17,3</w:t>
            </w:r>
          </w:p>
        </w:tc>
      </w:tr>
      <w:tr w:rsidR="00B11EE2" w:rsidRPr="0001562E" w:rsidTr="007969A4">
        <w:tc>
          <w:tcPr>
            <w:tcW w:w="0" w:type="auto"/>
            <w:tcMar>
              <w:left w:w="28" w:type="dxa"/>
              <w:right w:w="28" w:type="dxa"/>
            </w:tcMar>
            <w:vAlign w:val="center"/>
          </w:tcPr>
          <w:p w:rsidR="00B11EE2" w:rsidRDefault="00B11EE2" w:rsidP="00297325">
            <w:pPr>
              <w:jc w:val="center"/>
              <w:rPr>
                <w:sz w:val="22"/>
                <w:szCs w:val="22"/>
              </w:rPr>
            </w:pPr>
            <w:r>
              <w:rPr>
                <w:sz w:val="22"/>
                <w:szCs w:val="22"/>
              </w:rPr>
              <w:t>3.</w:t>
            </w:r>
          </w:p>
        </w:tc>
        <w:tc>
          <w:tcPr>
            <w:tcW w:w="0" w:type="auto"/>
            <w:tcMar>
              <w:left w:w="28" w:type="dxa"/>
              <w:right w:w="28" w:type="dxa"/>
            </w:tcMar>
            <w:vAlign w:val="center"/>
          </w:tcPr>
          <w:p w:rsidR="00B11EE2" w:rsidRDefault="00B11EE2" w:rsidP="00297325">
            <w:pPr>
              <w:rPr>
                <w:sz w:val="22"/>
                <w:szCs w:val="22"/>
              </w:rPr>
            </w:pPr>
            <w:r>
              <w:rPr>
                <w:sz w:val="22"/>
                <w:szCs w:val="22"/>
              </w:rPr>
              <w:t>Горячая вода</w:t>
            </w:r>
          </w:p>
        </w:tc>
        <w:tc>
          <w:tcPr>
            <w:tcW w:w="0" w:type="auto"/>
            <w:tcMar>
              <w:left w:w="28" w:type="dxa"/>
              <w:right w:w="28" w:type="dxa"/>
            </w:tcMar>
            <w:vAlign w:val="center"/>
          </w:tcPr>
          <w:p w:rsidR="00B11EE2" w:rsidRPr="00103FBC" w:rsidRDefault="00B11EE2" w:rsidP="00297325">
            <w:pPr>
              <w:jc w:val="center"/>
              <w:rPr>
                <w:sz w:val="22"/>
                <w:szCs w:val="22"/>
              </w:rPr>
            </w:pPr>
            <w:r w:rsidRPr="00103FBC">
              <w:rPr>
                <w:sz w:val="22"/>
                <w:szCs w:val="22"/>
              </w:rPr>
              <w:t>тыс.</w:t>
            </w:r>
          </w:p>
          <w:p w:rsidR="00B11EE2" w:rsidRPr="00103FBC" w:rsidRDefault="00B11EE2" w:rsidP="00297325">
            <w:pPr>
              <w:jc w:val="center"/>
              <w:rPr>
                <w:sz w:val="22"/>
                <w:szCs w:val="22"/>
              </w:rPr>
            </w:pPr>
            <w:r w:rsidRPr="00103FBC">
              <w:rPr>
                <w:sz w:val="22"/>
                <w:szCs w:val="22"/>
              </w:rPr>
              <w:t>куб. м</w:t>
            </w:r>
          </w:p>
        </w:tc>
        <w:tc>
          <w:tcPr>
            <w:tcW w:w="0" w:type="auto"/>
            <w:tcMar>
              <w:left w:w="28" w:type="dxa"/>
              <w:right w:w="28" w:type="dxa"/>
            </w:tcMar>
            <w:vAlign w:val="center"/>
          </w:tcPr>
          <w:p w:rsidR="00B11EE2" w:rsidRDefault="00B11EE2" w:rsidP="00297325">
            <w:pPr>
              <w:jc w:val="center"/>
              <w:rPr>
                <w:sz w:val="22"/>
                <w:szCs w:val="22"/>
              </w:rPr>
            </w:pPr>
            <w:r>
              <w:rPr>
                <w:sz w:val="22"/>
                <w:szCs w:val="22"/>
              </w:rPr>
              <w:t>3741,5</w:t>
            </w:r>
          </w:p>
        </w:tc>
        <w:tc>
          <w:tcPr>
            <w:tcW w:w="0" w:type="auto"/>
            <w:tcMar>
              <w:left w:w="28" w:type="dxa"/>
              <w:right w:w="28" w:type="dxa"/>
            </w:tcMar>
            <w:vAlign w:val="center"/>
          </w:tcPr>
          <w:p w:rsidR="00B11EE2" w:rsidRDefault="00B11EE2" w:rsidP="00297325">
            <w:pPr>
              <w:jc w:val="center"/>
              <w:rPr>
                <w:sz w:val="22"/>
                <w:szCs w:val="22"/>
              </w:rPr>
            </w:pPr>
            <w:r>
              <w:rPr>
                <w:sz w:val="22"/>
                <w:szCs w:val="22"/>
              </w:rPr>
              <w:t>675,9</w:t>
            </w:r>
          </w:p>
        </w:tc>
        <w:tc>
          <w:tcPr>
            <w:tcW w:w="0" w:type="auto"/>
            <w:vAlign w:val="center"/>
          </w:tcPr>
          <w:p w:rsidR="00B11EE2" w:rsidRDefault="00B11EE2" w:rsidP="00297325">
            <w:pPr>
              <w:jc w:val="center"/>
              <w:rPr>
                <w:sz w:val="22"/>
                <w:szCs w:val="22"/>
              </w:rPr>
            </w:pPr>
            <w:r>
              <w:rPr>
                <w:sz w:val="22"/>
                <w:szCs w:val="22"/>
              </w:rPr>
              <w:t>18,1</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3665,9</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512,7</w:t>
            </w:r>
          </w:p>
        </w:tc>
        <w:tc>
          <w:tcPr>
            <w:tcW w:w="0" w:type="auto"/>
            <w:vAlign w:val="center"/>
          </w:tcPr>
          <w:p w:rsidR="00B11EE2" w:rsidRPr="00103FBC" w:rsidRDefault="00B11EE2" w:rsidP="00297325">
            <w:pPr>
              <w:jc w:val="center"/>
              <w:rPr>
                <w:sz w:val="22"/>
                <w:szCs w:val="22"/>
              </w:rPr>
            </w:pPr>
            <w:r>
              <w:rPr>
                <w:sz w:val="22"/>
                <w:szCs w:val="22"/>
              </w:rPr>
              <w:t>14</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3793,5</w:t>
            </w:r>
          </w:p>
        </w:tc>
        <w:tc>
          <w:tcPr>
            <w:tcW w:w="0" w:type="auto"/>
            <w:tcMar>
              <w:left w:w="28" w:type="dxa"/>
              <w:right w:w="28" w:type="dxa"/>
            </w:tcMar>
            <w:vAlign w:val="center"/>
          </w:tcPr>
          <w:p w:rsidR="00B11EE2" w:rsidRPr="00103FBC" w:rsidRDefault="00B11EE2" w:rsidP="00297325">
            <w:pPr>
              <w:jc w:val="center"/>
              <w:rPr>
                <w:sz w:val="22"/>
                <w:szCs w:val="22"/>
              </w:rPr>
            </w:pPr>
            <w:r>
              <w:rPr>
                <w:sz w:val="22"/>
                <w:szCs w:val="22"/>
              </w:rPr>
              <w:t>657,1</w:t>
            </w:r>
          </w:p>
        </w:tc>
        <w:tc>
          <w:tcPr>
            <w:tcW w:w="0" w:type="auto"/>
            <w:vAlign w:val="center"/>
          </w:tcPr>
          <w:p w:rsidR="00B11EE2" w:rsidRPr="00103FBC" w:rsidRDefault="00B11EE2" w:rsidP="00297325">
            <w:pPr>
              <w:jc w:val="center"/>
              <w:rPr>
                <w:sz w:val="22"/>
                <w:szCs w:val="22"/>
              </w:rPr>
            </w:pPr>
            <w:r>
              <w:rPr>
                <w:sz w:val="22"/>
                <w:szCs w:val="22"/>
              </w:rPr>
              <w:t>17,3</w:t>
            </w:r>
          </w:p>
        </w:tc>
      </w:tr>
    </w:tbl>
    <w:p w:rsidR="00297325" w:rsidRDefault="00297325" w:rsidP="00297325">
      <w:pPr>
        <w:ind w:firstLine="709"/>
        <w:jc w:val="both"/>
        <w:rPr>
          <w:sz w:val="24"/>
          <w:szCs w:val="24"/>
        </w:rPr>
      </w:pPr>
    </w:p>
    <w:p w:rsidR="00297325" w:rsidRDefault="00B11EE2" w:rsidP="00297325">
      <w:pPr>
        <w:ind w:firstLine="709"/>
        <w:jc w:val="both"/>
        <w:rPr>
          <w:sz w:val="24"/>
          <w:szCs w:val="24"/>
        </w:rPr>
      </w:pPr>
      <w:r w:rsidRPr="00CA414C">
        <w:rPr>
          <w:sz w:val="24"/>
          <w:szCs w:val="24"/>
        </w:rPr>
        <w:t xml:space="preserve">Из приведённых цифр видно, что потребление коммунальных ресурсов на территории городского округа </w:t>
      </w:r>
      <w:r>
        <w:rPr>
          <w:sz w:val="24"/>
          <w:szCs w:val="24"/>
        </w:rPr>
        <w:t xml:space="preserve"> </w:t>
      </w:r>
      <w:r w:rsidRPr="00CA414C">
        <w:rPr>
          <w:sz w:val="24"/>
          <w:szCs w:val="24"/>
        </w:rPr>
        <w:t>расчёты за которые осуществляются с использованием приборов учёта</w:t>
      </w:r>
      <w:r>
        <w:rPr>
          <w:sz w:val="24"/>
          <w:szCs w:val="24"/>
        </w:rPr>
        <w:t xml:space="preserve">, имеет </w:t>
      </w:r>
      <w:r w:rsidRPr="00CA414C">
        <w:rPr>
          <w:sz w:val="24"/>
          <w:szCs w:val="24"/>
        </w:rPr>
        <w:t xml:space="preserve">очень низкий уровень. В настоящее время деятельность жилищно-коммунального хозяйства сопровождается весьма большими потерями </w:t>
      </w:r>
      <w:r w:rsidRPr="003202A9">
        <w:rPr>
          <w:sz w:val="24"/>
          <w:szCs w:val="24"/>
        </w:rPr>
        <w:t>топливно-энергетических ресурсов и воды</w:t>
      </w:r>
      <w:r w:rsidRPr="00CA414C">
        <w:rPr>
          <w:sz w:val="24"/>
          <w:szCs w:val="24"/>
        </w:rPr>
        <w:t xml:space="preserve"> ресурсов, как потребляемых самими организациями коммунального комплекса, так и потребителями </w:t>
      </w:r>
      <w:r>
        <w:rPr>
          <w:sz w:val="24"/>
          <w:szCs w:val="24"/>
        </w:rPr>
        <w:t xml:space="preserve">этих </w:t>
      </w:r>
      <w:r w:rsidRPr="00CA414C">
        <w:rPr>
          <w:sz w:val="24"/>
          <w:szCs w:val="24"/>
        </w:rPr>
        <w:t xml:space="preserve"> ресурсов. Договоры на поставку тепловой энергии и воды навязываются ресурсоснабжающими организациями потребителям на основе расчётов по нормативам, отражают объёмы реализации, которые зачастую значительно отличаются от фактического потребления. Вместе с тем реальное производство и потребление коммунальных ресурсов (особенно тепловой энергии и воды) проследить невозможно, так как уровень оснащения приборами учёта потребителей остаётся очень низким. </w:t>
      </w:r>
      <w:r w:rsidR="00EE244E" w:rsidRPr="00C16D09">
        <w:rPr>
          <w:sz w:val="24"/>
          <w:szCs w:val="24"/>
        </w:rPr>
        <w:t>Для  повышения качества проводимых мероприятий</w:t>
      </w:r>
      <w:r w:rsidR="00EE244E">
        <w:rPr>
          <w:sz w:val="24"/>
          <w:szCs w:val="24"/>
        </w:rPr>
        <w:t xml:space="preserve"> в области энергосбережения и энергоэффективности</w:t>
      </w:r>
      <w:r w:rsidR="00EE244E" w:rsidRPr="00C16D09">
        <w:rPr>
          <w:sz w:val="24"/>
          <w:szCs w:val="24"/>
        </w:rPr>
        <w:t xml:space="preserve"> с руководителями</w:t>
      </w:r>
      <w:r w:rsidR="00EE244E">
        <w:rPr>
          <w:sz w:val="24"/>
          <w:szCs w:val="24"/>
        </w:rPr>
        <w:t xml:space="preserve"> бюджетных и</w:t>
      </w:r>
      <w:r w:rsidR="00EE244E" w:rsidRPr="00C16D09">
        <w:rPr>
          <w:sz w:val="24"/>
          <w:szCs w:val="24"/>
        </w:rPr>
        <w:t xml:space="preserve"> управляющих организаций и организаций коммунального комплекса пров</w:t>
      </w:r>
      <w:r w:rsidR="00EE244E">
        <w:rPr>
          <w:sz w:val="24"/>
          <w:szCs w:val="24"/>
        </w:rPr>
        <w:t>о</w:t>
      </w:r>
      <w:r w:rsidR="00EE244E" w:rsidRPr="00C16D09">
        <w:rPr>
          <w:sz w:val="24"/>
          <w:szCs w:val="24"/>
        </w:rPr>
        <w:t>д</w:t>
      </w:r>
      <w:r w:rsidR="00EE244E">
        <w:rPr>
          <w:sz w:val="24"/>
          <w:szCs w:val="24"/>
        </w:rPr>
        <w:t>ятся</w:t>
      </w:r>
      <w:r w:rsidR="00EE244E" w:rsidRPr="00C16D09">
        <w:rPr>
          <w:sz w:val="24"/>
          <w:szCs w:val="24"/>
        </w:rPr>
        <w:t xml:space="preserve"> семинары и инструкторско-методические занятии по вопросам энергосбережения.</w:t>
      </w:r>
      <w:r w:rsidR="00EE244E">
        <w:rPr>
          <w:sz w:val="24"/>
          <w:szCs w:val="24"/>
        </w:rPr>
        <w:t xml:space="preserve"> Информация по вопросам энергосбережения и энергоэффективности размещается на официальном сайте Администрации городского округа, в средствах массовой информации.</w:t>
      </w:r>
      <w:r w:rsidR="00EE244E" w:rsidRPr="00C16D09">
        <w:rPr>
          <w:sz w:val="24"/>
          <w:szCs w:val="24"/>
        </w:rPr>
        <w:t xml:space="preserve">  Ежегодно в многоквартирных домах до собственников помещений  доводи</w:t>
      </w:r>
      <w:r w:rsidR="00EE244E">
        <w:rPr>
          <w:sz w:val="24"/>
          <w:szCs w:val="24"/>
        </w:rPr>
        <w:t>тся</w:t>
      </w:r>
      <w:r w:rsidR="00EE244E" w:rsidRPr="00C16D09">
        <w:rPr>
          <w:sz w:val="24"/>
          <w:szCs w:val="24"/>
        </w:rPr>
        <w:t xml:space="preserve">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Вместе с тем, установка общедомовых приборов учёта не проводи</w:t>
      </w:r>
      <w:r w:rsidR="00EE244E">
        <w:rPr>
          <w:sz w:val="24"/>
          <w:szCs w:val="24"/>
        </w:rPr>
        <w:t>лась до последнего времени</w:t>
      </w:r>
      <w:r w:rsidR="00EE244E" w:rsidRPr="00C16D09">
        <w:rPr>
          <w:sz w:val="24"/>
          <w:szCs w:val="24"/>
        </w:rPr>
        <w:t xml:space="preserve"> из-за большой стоимости узлов учёта и нежелания собственников помещений нести расходы на их установку</w:t>
      </w:r>
      <w:r w:rsidR="00EE244E">
        <w:rPr>
          <w:sz w:val="24"/>
          <w:szCs w:val="24"/>
        </w:rPr>
        <w:t xml:space="preserve">. </w:t>
      </w:r>
      <w:r w:rsidR="00EB3548">
        <w:rPr>
          <w:sz w:val="24"/>
          <w:szCs w:val="24"/>
        </w:rPr>
        <w:t>В настоящее время для решения этой проблемы, в целях выполнения указаний Губернатора Московской области А.Ю. Воробьева об установке</w:t>
      </w:r>
      <w:r w:rsidR="00EB3548" w:rsidRPr="00130823">
        <w:rPr>
          <w:sz w:val="24"/>
          <w:szCs w:val="24"/>
        </w:rPr>
        <w:t xml:space="preserve"> </w:t>
      </w:r>
      <w:r w:rsidR="00EB3548" w:rsidRPr="00C16D09">
        <w:rPr>
          <w:sz w:val="24"/>
          <w:szCs w:val="24"/>
        </w:rPr>
        <w:t>общедомовых приборов учёта</w:t>
      </w:r>
      <w:r w:rsidR="00EB3548">
        <w:rPr>
          <w:sz w:val="24"/>
          <w:szCs w:val="24"/>
        </w:rPr>
        <w:t xml:space="preserve"> потребленных энергоресурсов, ресурсоснабжающими организациями заключены договора со специализированными организациями на установку  </w:t>
      </w:r>
      <w:r w:rsidR="00EB3548" w:rsidRPr="00C16D09">
        <w:rPr>
          <w:sz w:val="24"/>
          <w:szCs w:val="24"/>
        </w:rPr>
        <w:t>общедомовых приборов учёта</w:t>
      </w:r>
      <w:r w:rsidR="00EB3548">
        <w:rPr>
          <w:sz w:val="24"/>
          <w:szCs w:val="24"/>
        </w:rPr>
        <w:t xml:space="preserve"> потребленных ресурсов, со сроком установки данных приборов до 30 декабря 2014 года. Оплата по вышеуказанным договорам будет производиться в рассрочку в течени</w:t>
      </w:r>
      <w:proofErr w:type="gramStart"/>
      <w:r w:rsidR="00EB3548">
        <w:rPr>
          <w:sz w:val="24"/>
          <w:szCs w:val="24"/>
        </w:rPr>
        <w:t>и</w:t>
      </w:r>
      <w:proofErr w:type="gramEnd"/>
      <w:r w:rsidR="00EB3548">
        <w:rPr>
          <w:sz w:val="24"/>
          <w:szCs w:val="24"/>
        </w:rPr>
        <w:t xml:space="preserve"> 5 лет. </w:t>
      </w:r>
    </w:p>
    <w:p w:rsidR="00297325" w:rsidRDefault="00902A41" w:rsidP="00297325">
      <w:pPr>
        <w:ind w:firstLine="709"/>
        <w:jc w:val="both"/>
        <w:rPr>
          <w:sz w:val="24"/>
          <w:szCs w:val="24"/>
        </w:rPr>
      </w:pPr>
      <w:r w:rsidRPr="00297325">
        <w:rPr>
          <w:sz w:val="24"/>
          <w:szCs w:val="24"/>
        </w:rPr>
        <w:t xml:space="preserve">В настоящее время в Российской Федерации привлечение инвестиций в 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и, к </w:t>
      </w:r>
      <w:r w:rsidRPr="00297325">
        <w:rPr>
          <w:sz w:val="24"/>
          <w:szCs w:val="24"/>
        </w:rPr>
        <w:lastRenderedPageBreak/>
        <w:t xml:space="preserve">сожалению,  еще в меньшей мере энергосбережением и </w:t>
      </w:r>
      <w:proofErr w:type="spellStart"/>
      <w:r w:rsidRPr="00297325">
        <w:rPr>
          <w:sz w:val="24"/>
          <w:szCs w:val="24"/>
        </w:rPr>
        <w:t>энергоэффективностью</w:t>
      </w:r>
      <w:proofErr w:type="spellEnd"/>
      <w:r w:rsidRPr="00297325">
        <w:rPr>
          <w:sz w:val="24"/>
          <w:szCs w:val="24"/>
        </w:rPr>
        <w:t>.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902A41" w:rsidRPr="00297325" w:rsidRDefault="00902A41" w:rsidP="00297325">
      <w:pPr>
        <w:ind w:firstLine="709"/>
        <w:jc w:val="both"/>
        <w:rPr>
          <w:sz w:val="24"/>
          <w:szCs w:val="24"/>
        </w:rPr>
      </w:pPr>
      <w:r w:rsidRPr="00297325">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902A41" w:rsidRPr="00BC1AD9" w:rsidRDefault="00297325" w:rsidP="00297325">
      <w:pPr>
        <w:pStyle w:val="2"/>
        <w:spacing w:after="0" w:line="240" w:lineRule="auto"/>
        <w:ind w:left="0" w:firstLine="709"/>
        <w:jc w:val="both"/>
        <w:rPr>
          <w:sz w:val="24"/>
          <w:szCs w:val="24"/>
        </w:rPr>
      </w:pPr>
      <w:r>
        <w:rPr>
          <w:sz w:val="24"/>
          <w:szCs w:val="24"/>
        </w:rPr>
        <w:t>3.</w:t>
      </w:r>
      <w:r w:rsidR="00902A41" w:rsidRPr="00BC1AD9">
        <w:rPr>
          <w:sz w:val="24"/>
          <w:szCs w:val="24"/>
        </w:rPr>
        <w:t>1. Рассматривая системы водоснабжения</w:t>
      </w:r>
      <w:r w:rsidR="00902A41">
        <w:rPr>
          <w:sz w:val="24"/>
          <w:szCs w:val="24"/>
        </w:rPr>
        <w:t xml:space="preserve"> и</w:t>
      </w:r>
      <w:r w:rsidR="00902A41" w:rsidRPr="00BC1AD9">
        <w:rPr>
          <w:sz w:val="24"/>
          <w:szCs w:val="24"/>
        </w:rPr>
        <w:t xml:space="preserve"> водоотведения городского округа Электросталь в целом, можно сделать вывод о том, что системы имеют </w:t>
      </w:r>
      <w:r w:rsidR="00902A41">
        <w:rPr>
          <w:sz w:val="24"/>
          <w:szCs w:val="24"/>
        </w:rPr>
        <w:t>большой уровень</w:t>
      </w:r>
      <w:r w:rsidR="00902A41" w:rsidRPr="00BC1AD9">
        <w:rPr>
          <w:sz w:val="24"/>
          <w:szCs w:val="24"/>
        </w:rPr>
        <w:t xml:space="preserve"> износа. Износ систем водоснабжения в среднем составляет 70 %. Однако уровень износа отдельных видов сетей имеет существенный разброс по величине (так, нуждается в замене около 20 % уличной водопроводной сети и более 80 %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902A41" w:rsidRPr="00BC1AD9" w:rsidRDefault="00902A41" w:rsidP="00297325">
      <w:pPr>
        <w:pStyle w:val="2"/>
        <w:numPr>
          <w:ilvl w:val="0"/>
          <w:numId w:val="5"/>
        </w:numPr>
        <w:spacing w:after="0" w:line="240" w:lineRule="auto"/>
        <w:jc w:val="both"/>
        <w:rPr>
          <w:sz w:val="24"/>
          <w:szCs w:val="24"/>
        </w:rPr>
      </w:pPr>
      <w:r w:rsidRPr="00BC1AD9">
        <w:rPr>
          <w:sz w:val="24"/>
          <w:szCs w:val="24"/>
        </w:rPr>
        <w:t>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902A41" w:rsidRPr="00BC1AD9" w:rsidRDefault="00902A41" w:rsidP="00297325">
      <w:pPr>
        <w:pStyle w:val="2"/>
        <w:numPr>
          <w:ilvl w:val="0"/>
          <w:numId w:val="5"/>
        </w:numPr>
        <w:spacing w:after="0" w:line="240" w:lineRule="auto"/>
        <w:jc w:val="both"/>
        <w:rPr>
          <w:sz w:val="24"/>
          <w:szCs w:val="24"/>
        </w:rPr>
      </w:pPr>
      <w:r w:rsidRPr="00BC1AD9">
        <w:rPr>
          <w:sz w:val="24"/>
          <w:szCs w:val="24"/>
        </w:rPr>
        <w:t>низкое качество воды;</w:t>
      </w:r>
    </w:p>
    <w:p w:rsidR="00902A41" w:rsidRPr="00BC1AD9" w:rsidRDefault="00902A41" w:rsidP="00297325">
      <w:pPr>
        <w:pStyle w:val="2"/>
        <w:numPr>
          <w:ilvl w:val="0"/>
          <w:numId w:val="5"/>
        </w:numPr>
        <w:spacing w:after="0" w:line="240" w:lineRule="auto"/>
        <w:jc w:val="both"/>
        <w:rPr>
          <w:sz w:val="24"/>
          <w:szCs w:val="24"/>
        </w:rPr>
      </w:pPr>
      <w:r w:rsidRPr="00BC1AD9">
        <w:rPr>
          <w:sz w:val="24"/>
          <w:szCs w:val="24"/>
        </w:rPr>
        <w:t>высокий износ сетей и оборудования.</w:t>
      </w:r>
    </w:p>
    <w:p w:rsidR="00902A41" w:rsidRPr="00BC1AD9" w:rsidRDefault="00297325" w:rsidP="00297325">
      <w:pPr>
        <w:pStyle w:val="2"/>
        <w:spacing w:after="0" w:line="240" w:lineRule="auto"/>
        <w:ind w:left="0" w:firstLine="709"/>
        <w:jc w:val="both"/>
        <w:rPr>
          <w:sz w:val="24"/>
          <w:szCs w:val="24"/>
        </w:rPr>
      </w:pPr>
      <w:r>
        <w:rPr>
          <w:sz w:val="24"/>
          <w:szCs w:val="24"/>
        </w:rPr>
        <w:t>3.</w:t>
      </w:r>
      <w:r w:rsidR="00902A41" w:rsidRPr="00BC1AD9">
        <w:rPr>
          <w:sz w:val="24"/>
          <w:szCs w:val="24"/>
        </w:rPr>
        <w:t xml:space="preserve">2. Канализационные сети городского округа Электросталь имеют высокий удельный вес нуждающихся в замене – около 42 %. При этом, в большей мере нуждаются в замене уличные канализационные сети – около 55 %. Доля сетей, нуждающихся в замене, превышает общероссийский и региональный показатели. Необходимо отметить, что динамика </w:t>
      </w:r>
      <w:proofErr w:type="gramStart"/>
      <w:r w:rsidR="00902A41" w:rsidRPr="00BC1AD9">
        <w:rPr>
          <w:sz w:val="24"/>
          <w:szCs w:val="24"/>
        </w:rPr>
        <w:t>обновления сетевого хозяйства систем водоотведения городского округа</w:t>
      </w:r>
      <w:proofErr w:type="gramEnd"/>
      <w:r w:rsidR="00902A41" w:rsidRPr="00BC1AD9">
        <w:rPr>
          <w:sz w:val="24"/>
          <w:szCs w:val="24"/>
        </w:rPr>
        <w:t xml:space="preserve">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(в 2006 г. почти на 50 %). Основными проблемами в функционировании и развитии системы водоотведения и очистки сточных вод городского округа Электросталь является:</w:t>
      </w:r>
    </w:p>
    <w:p w:rsidR="00902A41" w:rsidRPr="00BC1AD9" w:rsidRDefault="00902A41" w:rsidP="00297325">
      <w:pPr>
        <w:pStyle w:val="2"/>
        <w:numPr>
          <w:ilvl w:val="0"/>
          <w:numId w:val="6"/>
        </w:numPr>
        <w:spacing w:after="0" w:line="240" w:lineRule="auto"/>
        <w:jc w:val="both"/>
        <w:rPr>
          <w:sz w:val="24"/>
          <w:szCs w:val="24"/>
        </w:rPr>
      </w:pPr>
      <w:r w:rsidRPr="00BC1AD9">
        <w:rPr>
          <w:sz w:val="24"/>
          <w:szCs w:val="24"/>
        </w:rPr>
        <w:t>дефицит мощностей очистных сооружений, как в части обеспечения существующих потребителей, так и планируемых к строительству объектов;</w:t>
      </w:r>
    </w:p>
    <w:p w:rsidR="00902A41" w:rsidRPr="00BC1AD9" w:rsidRDefault="00902A41" w:rsidP="00297325">
      <w:pPr>
        <w:pStyle w:val="2"/>
        <w:numPr>
          <w:ilvl w:val="0"/>
          <w:numId w:val="6"/>
        </w:numPr>
        <w:spacing w:after="0" w:line="240" w:lineRule="auto"/>
        <w:jc w:val="both"/>
        <w:rPr>
          <w:sz w:val="24"/>
          <w:szCs w:val="24"/>
        </w:rPr>
      </w:pPr>
      <w:r w:rsidRPr="00BC1AD9">
        <w:rPr>
          <w:sz w:val="24"/>
          <w:szCs w:val="24"/>
        </w:rPr>
        <w:t>высокий износ сетей и оборудования КНС.</w:t>
      </w:r>
    </w:p>
    <w:p w:rsidR="00902A41" w:rsidRDefault="00902A41" w:rsidP="00297325">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902A41" w:rsidRDefault="00297325" w:rsidP="00297325">
      <w:pPr>
        <w:pStyle w:val="2"/>
        <w:spacing w:after="0" w:line="240" w:lineRule="auto"/>
        <w:ind w:left="0" w:firstLine="709"/>
        <w:jc w:val="both"/>
        <w:rPr>
          <w:sz w:val="24"/>
          <w:szCs w:val="24"/>
        </w:rPr>
      </w:pPr>
      <w:r>
        <w:rPr>
          <w:sz w:val="24"/>
          <w:szCs w:val="24"/>
        </w:rPr>
        <w:t>3.</w:t>
      </w:r>
      <w:r w:rsidR="00902A41">
        <w:rPr>
          <w:sz w:val="24"/>
          <w:szCs w:val="24"/>
        </w:rPr>
        <w:t xml:space="preserve">3. </w:t>
      </w:r>
      <w:r w:rsidR="00902A41" w:rsidRPr="00BC1AD9">
        <w:rPr>
          <w:sz w:val="24"/>
          <w:szCs w:val="24"/>
        </w:rPr>
        <w:t xml:space="preserve">Анализируя уровень износа </w:t>
      </w:r>
      <w:r w:rsidR="00902A41">
        <w:rPr>
          <w:sz w:val="24"/>
          <w:szCs w:val="24"/>
        </w:rPr>
        <w:t>теплоэнергетического комплекса</w:t>
      </w:r>
      <w:r w:rsidR="00902A41" w:rsidRPr="00BC1AD9">
        <w:rPr>
          <w:sz w:val="24"/>
          <w:szCs w:val="24"/>
        </w:rPr>
        <w:t xml:space="preserve"> необходимо отметить его влияние на такие существенные показатели как аварийность систем </w:t>
      </w:r>
      <w:r w:rsidR="00902A41">
        <w:rPr>
          <w:sz w:val="24"/>
          <w:szCs w:val="24"/>
        </w:rPr>
        <w:t>теплоснабжения</w:t>
      </w:r>
      <w:r w:rsidR="00902A41" w:rsidRPr="00BC1AD9">
        <w:rPr>
          <w:sz w:val="24"/>
          <w:szCs w:val="24"/>
        </w:rPr>
        <w:t xml:space="preserve"> и потери ресурсов при их транспортировке. Функционирование </w:t>
      </w:r>
      <w:r w:rsidR="00902A41">
        <w:rPr>
          <w:sz w:val="24"/>
          <w:szCs w:val="24"/>
        </w:rPr>
        <w:t>теплоэнергетического комплекса</w:t>
      </w:r>
      <w:r w:rsidR="00902A41" w:rsidRPr="00BC1AD9">
        <w:rPr>
          <w:sz w:val="24"/>
          <w:szCs w:val="24"/>
        </w:rPr>
        <w:t xml:space="preserve"> городского округа Электросталь характеризуется следующими тенденциями.</w:t>
      </w:r>
    </w:p>
    <w:p w:rsidR="00902A41" w:rsidRPr="00BC1AD9" w:rsidRDefault="00902A41" w:rsidP="00297325">
      <w:pPr>
        <w:pStyle w:val="2"/>
        <w:spacing w:after="0" w:line="240" w:lineRule="auto"/>
        <w:ind w:left="0" w:firstLine="709"/>
        <w:jc w:val="both"/>
        <w:rPr>
          <w:sz w:val="24"/>
          <w:szCs w:val="24"/>
        </w:rPr>
      </w:pPr>
      <w:r w:rsidRPr="00BC1AD9">
        <w:rPr>
          <w:sz w:val="24"/>
          <w:szCs w:val="24"/>
        </w:rPr>
        <w:t xml:space="preserve">Основным производителем тепловой энергии является МУП «ПТП ГХ» (котельные «Северная, «Западная, «Южная»), на долю которого приходиться 74 % всей вырабатываемой в городском округе Электросталь энергии. ООО «ЭЛЕМАШ-ТЭК» (котельная «Восточная») обеспечивает 14 % рынка тепловой </w:t>
      </w:r>
      <w:proofErr w:type="gramStart"/>
      <w:r w:rsidRPr="00BC1AD9">
        <w:rPr>
          <w:sz w:val="24"/>
          <w:szCs w:val="24"/>
        </w:rPr>
        <w:t>энергии, оставшиеся 12 % обеспечивает</w:t>
      </w:r>
      <w:proofErr w:type="gramEnd"/>
      <w:r w:rsidRPr="00BC1AD9">
        <w:rPr>
          <w:sz w:val="24"/>
          <w:szCs w:val="24"/>
        </w:rPr>
        <w:t xml:space="preserve"> </w:t>
      </w:r>
      <w:r>
        <w:rPr>
          <w:sz w:val="24"/>
          <w:szCs w:val="24"/>
        </w:rPr>
        <w:t>ООО «Глобус»</w:t>
      </w:r>
      <w:r w:rsidRPr="00BC1AD9">
        <w:rPr>
          <w:sz w:val="24"/>
          <w:szCs w:val="24"/>
        </w:rPr>
        <w:t xml:space="preserve">. </w:t>
      </w:r>
    </w:p>
    <w:p w:rsidR="00902A41" w:rsidRPr="00BC1AD9" w:rsidRDefault="00902A41" w:rsidP="00297325">
      <w:pPr>
        <w:pStyle w:val="2"/>
        <w:spacing w:after="0" w:line="240" w:lineRule="auto"/>
        <w:ind w:left="0" w:firstLine="709"/>
        <w:jc w:val="both"/>
        <w:rPr>
          <w:sz w:val="24"/>
          <w:szCs w:val="24"/>
        </w:rPr>
      </w:pPr>
      <w:r w:rsidRPr="00BC1AD9">
        <w:rPr>
          <w:sz w:val="24"/>
          <w:szCs w:val="24"/>
        </w:rPr>
        <w:t xml:space="preserve">Для всей системы теплоснабжения городского округа (за исключением </w:t>
      </w:r>
      <w:r>
        <w:rPr>
          <w:sz w:val="24"/>
          <w:szCs w:val="24"/>
        </w:rPr>
        <w:t>ООО «Глобус»</w:t>
      </w:r>
      <w:r w:rsidRPr="00BC1AD9">
        <w:rPr>
          <w:sz w:val="24"/>
          <w:szCs w:val="24"/>
        </w:rPr>
        <w:t xml:space="preserve"> </w:t>
      </w:r>
      <w:proofErr w:type="gramStart"/>
      <w:r w:rsidRPr="00BC1AD9">
        <w:rPr>
          <w:sz w:val="24"/>
          <w:szCs w:val="24"/>
        </w:rPr>
        <w:t>и ООО</w:t>
      </w:r>
      <w:proofErr w:type="gramEnd"/>
      <w:r w:rsidRPr="00BC1AD9">
        <w:rPr>
          <w:sz w:val="24"/>
          <w:szCs w:val="24"/>
        </w:rPr>
        <w:t xml:space="preserve"> «ЭЛЕМАШ-ТЭК»)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902A41" w:rsidRPr="00BC1AD9" w:rsidRDefault="00902A41" w:rsidP="00297325">
      <w:pPr>
        <w:pStyle w:val="2"/>
        <w:spacing w:after="0" w:line="240" w:lineRule="auto"/>
        <w:ind w:left="0" w:firstLine="709"/>
        <w:jc w:val="both"/>
        <w:rPr>
          <w:sz w:val="24"/>
          <w:szCs w:val="24"/>
        </w:rPr>
      </w:pPr>
      <w:r w:rsidRPr="00BC1AD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902A41" w:rsidRPr="00BC1AD9" w:rsidRDefault="00902A41" w:rsidP="00297325">
      <w:pPr>
        <w:pStyle w:val="2"/>
        <w:spacing w:after="0" w:line="240" w:lineRule="auto"/>
        <w:ind w:left="0" w:firstLine="709"/>
        <w:jc w:val="both"/>
        <w:rPr>
          <w:sz w:val="24"/>
          <w:szCs w:val="24"/>
        </w:rPr>
      </w:pPr>
      <w:r w:rsidRPr="00BC1AD9">
        <w:rPr>
          <w:sz w:val="24"/>
          <w:szCs w:val="24"/>
        </w:rPr>
        <w:lastRenderedPageBreak/>
        <w:t>Можно обозначить следующие основные проблемные места функционирования системы теплоснабжения:</w:t>
      </w:r>
    </w:p>
    <w:p w:rsidR="00902A41" w:rsidRPr="00BC1AD9" w:rsidRDefault="00297325" w:rsidP="00297325">
      <w:pPr>
        <w:pStyle w:val="2"/>
        <w:numPr>
          <w:ilvl w:val="0"/>
          <w:numId w:val="7"/>
        </w:numPr>
        <w:spacing w:after="0" w:line="240" w:lineRule="auto"/>
        <w:jc w:val="both"/>
        <w:rPr>
          <w:sz w:val="24"/>
          <w:szCs w:val="24"/>
        </w:rPr>
      </w:pPr>
      <w:r>
        <w:rPr>
          <w:sz w:val="24"/>
          <w:szCs w:val="24"/>
        </w:rPr>
        <w:t>в</w:t>
      </w:r>
      <w:r w:rsidR="00902A41" w:rsidRPr="00BC1AD9">
        <w:rPr>
          <w:sz w:val="24"/>
          <w:szCs w:val="24"/>
        </w:rPr>
        <w:t xml:space="preserve">ысокий износ оборудования (сети, котлы, насосы, </w:t>
      </w:r>
      <w:proofErr w:type="spellStart"/>
      <w:r w:rsidR="00902A41" w:rsidRPr="00BC1AD9">
        <w:rPr>
          <w:sz w:val="24"/>
          <w:szCs w:val="24"/>
        </w:rPr>
        <w:t>водоподогреватели</w:t>
      </w:r>
      <w:proofErr w:type="spellEnd"/>
      <w:r w:rsidR="00902A41" w:rsidRPr="00BC1AD9">
        <w:rPr>
          <w:sz w:val="24"/>
          <w:szCs w:val="24"/>
        </w:rPr>
        <w:t xml:space="preserve"> и т.д.);</w:t>
      </w:r>
    </w:p>
    <w:p w:rsidR="00902A41" w:rsidRPr="00BC1AD9" w:rsidRDefault="00297325" w:rsidP="00297325">
      <w:pPr>
        <w:pStyle w:val="2"/>
        <w:numPr>
          <w:ilvl w:val="0"/>
          <w:numId w:val="7"/>
        </w:numPr>
        <w:spacing w:after="0" w:line="240" w:lineRule="auto"/>
        <w:jc w:val="both"/>
        <w:rPr>
          <w:sz w:val="24"/>
          <w:szCs w:val="24"/>
        </w:rPr>
      </w:pPr>
      <w:r>
        <w:rPr>
          <w:sz w:val="24"/>
          <w:szCs w:val="24"/>
        </w:rPr>
        <w:t>с</w:t>
      </w:r>
      <w:r w:rsidR="00902A41" w:rsidRPr="00BC1AD9">
        <w:rPr>
          <w:sz w:val="24"/>
          <w:szCs w:val="24"/>
        </w:rPr>
        <w:t>верхнормативные потери тепловой энергии и удельные расходы ресурсов;</w:t>
      </w:r>
    </w:p>
    <w:p w:rsidR="00902A41" w:rsidRPr="00BC1AD9" w:rsidRDefault="00297325" w:rsidP="00297325">
      <w:pPr>
        <w:pStyle w:val="2"/>
        <w:numPr>
          <w:ilvl w:val="0"/>
          <w:numId w:val="7"/>
        </w:numPr>
        <w:spacing w:after="0" w:line="240" w:lineRule="auto"/>
        <w:jc w:val="both"/>
        <w:rPr>
          <w:sz w:val="24"/>
          <w:szCs w:val="24"/>
        </w:rPr>
      </w:pPr>
      <w:r>
        <w:rPr>
          <w:sz w:val="24"/>
          <w:szCs w:val="24"/>
        </w:rPr>
        <w:t>д</w:t>
      </w:r>
      <w:r w:rsidR="00902A41" w:rsidRPr="00BC1AD9">
        <w:rPr>
          <w:sz w:val="24"/>
          <w:szCs w:val="24"/>
        </w:rPr>
        <w:t>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00902A41" w:rsidRPr="00BC1AD9">
        <w:rPr>
          <w:sz w:val="24"/>
          <w:szCs w:val="24"/>
        </w:rPr>
        <w:t>недотопам</w:t>
      </w:r>
      <w:proofErr w:type="spellEnd"/>
      <w:r w:rsidR="00902A41" w:rsidRPr="00BC1AD9">
        <w:rPr>
          <w:sz w:val="24"/>
          <w:szCs w:val="24"/>
        </w:rPr>
        <w:t>» в периоды максимально холодных температур;</w:t>
      </w:r>
    </w:p>
    <w:p w:rsidR="00902A41" w:rsidRPr="00BC1AD9" w:rsidRDefault="00297325" w:rsidP="00297325">
      <w:pPr>
        <w:pStyle w:val="2"/>
        <w:numPr>
          <w:ilvl w:val="0"/>
          <w:numId w:val="7"/>
        </w:numPr>
        <w:spacing w:after="0" w:line="240" w:lineRule="auto"/>
        <w:jc w:val="both"/>
        <w:rPr>
          <w:sz w:val="24"/>
          <w:szCs w:val="24"/>
        </w:rPr>
      </w:pPr>
      <w:r>
        <w:rPr>
          <w:sz w:val="24"/>
          <w:szCs w:val="24"/>
        </w:rPr>
        <w:t>н</w:t>
      </w:r>
      <w:r w:rsidR="00902A41" w:rsidRPr="00BC1AD9">
        <w:rPr>
          <w:sz w:val="24"/>
          <w:szCs w:val="24"/>
        </w:rPr>
        <w:t>изкое гидравлическое давление на периферийных участках тепловых сетей, максимально удаленных от источников генерации;</w:t>
      </w:r>
    </w:p>
    <w:p w:rsidR="00902A41" w:rsidRPr="00BC1AD9" w:rsidRDefault="00297325" w:rsidP="00297325">
      <w:pPr>
        <w:pStyle w:val="2"/>
        <w:numPr>
          <w:ilvl w:val="0"/>
          <w:numId w:val="7"/>
        </w:numPr>
        <w:spacing w:after="0" w:line="240" w:lineRule="auto"/>
        <w:jc w:val="both"/>
        <w:rPr>
          <w:sz w:val="24"/>
          <w:szCs w:val="24"/>
        </w:rPr>
      </w:pPr>
      <w:r>
        <w:rPr>
          <w:sz w:val="24"/>
          <w:szCs w:val="24"/>
        </w:rPr>
        <w:t>о</w:t>
      </w:r>
      <w:r w:rsidR="00902A41" w:rsidRPr="00BC1AD9">
        <w:rPr>
          <w:sz w:val="24"/>
          <w:szCs w:val="24"/>
        </w:rPr>
        <w:t>тсутствие учета тепловой энергии у потребителей.</w:t>
      </w:r>
    </w:p>
    <w:p w:rsidR="00902A41" w:rsidRPr="00BC1AD9" w:rsidRDefault="00902A41" w:rsidP="00297325">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w:t>
      </w:r>
      <w:r>
        <w:rPr>
          <w:sz w:val="24"/>
          <w:szCs w:val="24"/>
        </w:rPr>
        <w:t>теплоснабжения,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теплоносителя</w:t>
      </w:r>
      <w:r w:rsidRPr="00BC1AD9">
        <w:rPr>
          <w:sz w:val="24"/>
          <w:szCs w:val="24"/>
        </w:rPr>
        <w:t xml:space="preserve"> в сетях и аварийности, что в целом отразится на качестве соответствующих коммунальных услуг.</w:t>
      </w:r>
    </w:p>
    <w:p w:rsidR="00902A41" w:rsidRPr="00CA414C" w:rsidRDefault="00902A41" w:rsidP="00297325">
      <w:pPr>
        <w:ind w:firstLine="720"/>
        <w:jc w:val="both"/>
        <w:rPr>
          <w:sz w:val="24"/>
          <w:szCs w:val="24"/>
        </w:rPr>
      </w:pPr>
      <w:r w:rsidRPr="00CA414C">
        <w:rPr>
          <w:sz w:val="24"/>
          <w:szCs w:val="24"/>
        </w:rPr>
        <w:t xml:space="preserve">Несмотря на имеющиеся недостатки в сфере энергосбережения и энергетической эффективности, на территории городского округа проведены мероприятия, способствующие снижению потребления энергетических ресурсов на территории городского округа. Заменены магистральные тепловые трубопроводы по улицам Победы, Первомайская, Западная, Маяковского, Радио. С 2004 года протяжённость сетей в пенополиуретановой изоляции увеличилась в </w:t>
      </w:r>
      <w:r>
        <w:rPr>
          <w:sz w:val="24"/>
          <w:szCs w:val="24"/>
        </w:rPr>
        <w:t>10</w:t>
      </w:r>
      <w:r w:rsidRPr="00CA414C">
        <w:rPr>
          <w:sz w:val="24"/>
          <w:szCs w:val="24"/>
        </w:rPr>
        <w:t xml:space="preserve"> раз (с 3,02 км до </w:t>
      </w:r>
      <w:r>
        <w:rPr>
          <w:sz w:val="24"/>
          <w:szCs w:val="24"/>
        </w:rPr>
        <w:t>30,3</w:t>
      </w:r>
      <w:r w:rsidRPr="00CA414C">
        <w:rPr>
          <w:sz w:val="24"/>
          <w:szCs w:val="24"/>
        </w:rPr>
        <w:t xml:space="preserve"> км) и составила </w:t>
      </w:r>
      <w:r>
        <w:rPr>
          <w:sz w:val="24"/>
          <w:szCs w:val="24"/>
        </w:rPr>
        <w:t>16,6</w:t>
      </w:r>
      <w:r w:rsidRPr="00CA414C">
        <w:rPr>
          <w:sz w:val="24"/>
          <w:szCs w:val="24"/>
        </w:rPr>
        <w:t>% от общей протяжённости сетей. На муниципальных котельных установлены комплекты современных частотных преобразователей и семь насосов фирмы «</w:t>
      </w:r>
      <w:proofErr w:type="spellStart"/>
      <w:r w:rsidRPr="00CA414C">
        <w:rPr>
          <w:sz w:val="24"/>
          <w:szCs w:val="24"/>
        </w:rPr>
        <w:t>Грундфос</w:t>
      </w:r>
      <w:proofErr w:type="spellEnd"/>
      <w:r w:rsidRPr="00CA414C">
        <w:rPr>
          <w:sz w:val="24"/>
          <w:szCs w:val="24"/>
        </w:rPr>
        <w:t xml:space="preserve">». </w:t>
      </w:r>
      <w:r>
        <w:rPr>
          <w:sz w:val="24"/>
          <w:szCs w:val="24"/>
        </w:rPr>
        <w:t>За последние 5 лет</w:t>
      </w:r>
      <w:r w:rsidRPr="00CA414C">
        <w:rPr>
          <w:sz w:val="24"/>
          <w:szCs w:val="24"/>
        </w:rPr>
        <w:t xml:space="preserve"> время проведены работы по замене ветхих водопроводных сетей на водопроводные сети из полиэтиленовых труб. Заменены водопроводные сети по улицам </w:t>
      </w:r>
      <w:proofErr w:type="spellStart"/>
      <w:r w:rsidRPr="00CA414C">
        <w:rPr>
          <w:sz w:val="24"/>
          <w:szCs w:val="24"/>
        </w:rPr>
        <w:t>Жулябина</w:t>
      </w:r>
      <w:proofErr w:type="spellEnd"/>
      <w:r w:rsidRPr="00CA414C">
        <w:rPr>
          <w:sz w:val="24"/>
          <w:szCs w:val="24"/>
        </w:rPr>
        <w:t xml:space="preserve">, Спортивная, Рабочая, </w:t>
      </w:r>
      <w:proofErr w:type="spellStart"/>
      <w:r w:rsidRPr="00CA414C">
        <w:rPr>
          <w:sz w:val="24"/>
          <w:szCs w:val="24"/>
        </w:rPr>
        <w:t>Фрязевскому</w:t>
      </w:r>
      <w:proofErr w:type="spellEnd"/>
      <w:r w:rsidRPr="00CA414C">
        <w:rPr>
          <w:sz w:val="24"/>
          <w:szCs w:val="24"/>
        </w:rPr>
        <w:t xml:space="preserve"> шоссе, проезду Чернышевского</w:t>
      </w:r>
      <w:r>
        <w:rPr>
          <w:sz w:val="24"/>
          <w:szCs w:val="24"/>
        </w:rPr>
        <w:t>, проспекту Ленина</w:t>
      </w:r>
      <w:r w:rsidRPr="00CA414C">
        <w:rPr>
          <w:sz w:val="24"/>
          <w:szCs w:val="24"/>
        </w:rPr>
        <w:t xml:space="preserve">. В настоящее время </w:t>
      </w:r>
      <w:r>
        <w:rPr>
          <w:sz w:val="24"/>
          <w:szCs w:val="24"/>
        </w:rPr>
        <w:t>18</w:t>
      </w:r>
      <w:r w:rsidRPr="00CA414C">
        <w:rPr>
          <w:sz w:val="24"/>
          <w:szCs w:val="24"/>
        </w:rPr>
        <w:t>% протяжённости водопроводных сетей изготовлены из полиэтилена.</w:t>
      </w:r>
    </w:p>
    <w:p w:rsidR="00902A41" w:rsidRPr="00CA414C" w:rsidRDefault="00902A41" w:rsidP="00297325">
      <w:pPr>
        <w:ind w:firstLine="720"/>
        <w:jc w:val="both"/>
        <w:rPr>
          <w:sz w:val="24"/>
          <w:szCs w:val="24"/>
        </w:rPr>
      </w:pPr>
      <w:r w:rsidRPr="00CA414C">
        <w:rPr>
          <w:sz w:val="24"/>
          <w:szCs w:val="24"/>
        </w:rPr>
        <w:t>В 2009 году по результатам проведённого конкурса топливно-энергетический комплекс «котельная «Восточная» передан в долгосрочную аренду частному оператору – ОАО «Машиностроительный завод», что положило начало муниципального и частного партнёрства, как одного из приоритетных направлений государственной политики по эффективному управлению объектами систем коммунальной инфраструктуры. Так частным оператором в рамках заключённого договора аренды построен дублирующий источник генерации тепловой энергии.</w:t>
      </w:r>
    </w:p>
    <w:p w:rsidR="00902A41" w:rsidRPr="00CA414C" w:rsidRDefault="00902A41" w:rsidP="00297325">
      <w:pPr>
        <w:ind w:firstLine="720"/>
        <w:jc w:val="both"/>
        <w:rPr>
          <w:sz w:val="24"/>
          <w:szCs w:val="24"/>
        </w:rPr>
      </w:pPr>
      <w:r w:rsidRPr="00CA414C">
        <w:rPr>
          <w:sz w:val="24"/>
          <w:szCs w:val="24"/>
        </w:rPr>
        <w:t xml:space="preserve">С целью реализации задачи по повышению энергоэффективности вновь построенных многоквартирных домов, а также объектов социальной сферы и промышленной энергетики постановлением Главы города Электросталь Московской области от 23.06.2003 года № 649/11 учреждено некоммерческое партнёрство </w:t>
      </w:r>
      <w:proofErr w:type="spellStart"/>
      <w:r w:rsidRPr="00CA414C">
        <w:rPr>
          <w:sz w:val="24"/>
          <w:szCs w:val="24"/>
        </w:rPr>
        <w:t>энергосервисная</w:t>
      </w:r>
      <w:proofErr w:type="spellEnd"/>
      <w:r w:rsidRPr="00CA414C">
        <w:rPr>
          <w:sz w:val="24"/>
          <w:szCs w:val="24"/>
        </w:rPr>
        <w:t xml:space="preserve"> компания «ЭСКО-ВЕМО», сфера деятельности которой включает:</w:t>
      </w:r>
    </w:p>
    <w:p w:rsidR="00297325" w:rsidRPr="00297325" w:rsidRDefault="00902A41" w:rsidP="00297325">
      <w:pPr>
        <w:pStyle w:val="a6"/>
        <w:numPr>
          <w:ilvl w:val="0"/>
          <w:numId w:val="8"/>
        </w:numPr>
        <w:jc w:val="both"/>
        <w:rPr>
          <w:sz w:val="24"/>
          <w:szCs w:val="24"/>
        </w:rPr>
      </w:pPr>
      <w:r w:rsidRPr="00297325">
        <w:rPr>
          <w:sz w:val="24"/>
          <w:szCs w:val="24"/>
        </w:rPr>
        <w:t>проведение энергетического, технического и строительного аудита;</w:t>
      </w:r>
    </w:p>
    <w:p w:rsidR="00902A41" w:rsidRPr="00297325" w:rsidRDefault="00902A41" w:rsidP="00297325">
      <w:pPr>
        <w:pStyle w:val="a6"/>
        <w:numPr>
          <w:ilvl w:val="0"/>
          <w:numId w:val="8"/>
        </w:numPr>
        <w:jc w:val="both"/>
        <w:rPr>
          <w:sz w:val="24"/>
          <w:szCs w:val="24"/>
        </w:rPr>
      </w:pPr>
      <w:r w:rsidRPr="00297325">
        <w:rPr>
          <w:sz w:val="24"/>
          <w:szCs w:val="24"/>
        </w:rPr>
        <w:t xml:space="preserve">комплексную диагностику зданий по </w:t>
      </w:r>
      <w:proofErr w:type="spellStart"/>
      <w:r w:rsidRPr="00297325">
        <w:rPr>
          <w:sz w:val="24"/>
          <w:szCs w:val="24"/>
        </w:rPr>
        <w:t>теплопотерям</w:t>
      </w:r>
      <w:proofErr w:type="spellEnd"/>
      <w:r w:rsidRPr="00297325">
        <w:rPr>
          <w:sz w:val="24"/>
          <w:szCs w:val="24"/>
        </w:rPr>
        <w:t xml:space="preserve"> и конструктивно-технологическим недостаткам;</w:t>
      </w:r>
    </w:p>
    <w:p w:rsidR="00902A41" w:rsidRPr="00297325" w:rsidRDefault="00902A41" w:rsidP="00297325">
      <w:pPr>
        <w:pStyle w:val="a6"/>
        <w:numPr>
          <w:ilvl w:val="0"/>
          <w:numId w:val="8"/>
        </w:numPr>
        <w:jc w:val="both"/>
        <w:rPr>
          <w:sz w:val="24"/>
          <w:szCs w:val="24"/>
        </w:rPr>
      </w:pPr>
      <w:r w:rsidRPr="00297325">
        <w:rPr>
          <w:sz w:val="24"/>
          <w:szCs w:val="24"/>
        </w:rPr>
        <w:t>оценку энергоэффективности теплозащиты зданий и сооружений с определением фактического сопротивления теплопередаче;</w:t>
      </w:r>
    </w:p>
    <w:p w:rsidR="00902A41" w:rsidRPr="00297325" w:rsidRDefault="00902A41" w:rsidP="00297325">
      <w:pPr>
        <w:pStyle w:val="a6"/>
        <w:numPr>
          <w:ilvl w:val="0"/>
          <w:numId w:val="8"/>
        </w:numPr>
        <w:jc w:val="both"/>
        <w:rPr>
          <w:sz w:val="24"/>
          <w:szCs w:val="24"/>
        </w:rPr>
      </w:pPr>
      <w:r w:rsidRPr="00297325">
        <w:rPr>
          <w:sz w:val="24"/>
          <w:szCs w:val="24"/>
        </w:rPr>
        <w:t>диагностику состояния тепловых сетей и трубопроводов;</w:t>
      </w:r>
    </w:p>
    <w:p w:rsidR="00902A41" w:rsidRPr="00297325" w:rsidRDefault="00902A41" w:rsidP="00297325">
      <w:pPr>
        <w:pStyle w:val="a6"/>
        <w:numPr>
          <w:ilvl w:val="0"/>
          <w:numId w:val="8"/>
        </w:numPr>
        <w:jc w:val="both"/>
        <w:rPr>
          <w:sz w:val="24"/>
          <w:szCs w:val="24"/>
        </w:rPr>
      </w:pPr>
      <w:r w:rsidRPr="00297325">
        <w:rPr>
          <w:sz w:val="24"/>
          <w:szCs w:val="24"/>
        </w:rPr>
        <w:t>диагностику состояния электрооборудования.</w:t>
      </w:r>
    </w:p>
    <w:p w:rsidR="00902A41" w:rsidRPr="00CA414C" w:rsidRDefault="00902A41" w:rsidP="00297325">
      <w:pPr>
        <w:ind w:firstLine="720"/>
        <w:jc w:val="both"/>
        <w:rPr>
          <w:sz w:val="24"/>
          <w:szCs w:val="24"/>
        </w:rPr>
      </w:pPr>
      <w:r w:rsidRPr="00CA414C">
        <w:rPr>
          <w:sz w:val="24"/>
          <w:szCs w:val="24"/>
        </w:rPr>
        <w:t>Вышеуказанные услуги организации использовались хозяйствующими субъектами на территории городского округа, что, несомненно, положительно сказалось на энергосбережении и энергетической эффективности деятельности хозяйствующих субъектов.</w:t>
      </w:r>
    </w:p>
    <w:p w:rsidR="00CC1246" w:rsidRPr="007547EF" w:rsidRDefault="00CC1246" w:rsidP="00297325">
      <w:pPr>
        <w:ind w:firstLine="708"/>
        <w:jc w:val="both"/>
        <w:rPr>
          <w:sz w:val="24"/>
          <w:szCs w:val="24"/>
        </w:rPr>
      </w:pPr>
      <w:proofErr w:type="gramStart"/>
      <w:r w:rsidRPr="007547EF">
        <w:rPr>
          <w:sz w:val="24"/>
          <w:szCs w:val="24"/>
        </w:rPr>
        <w:t>Наружное освещение городского округа Электросталь Московской области, включающее в себя освещение улиц, внутридворовых проездов и территорий, архитектурную подсветку зданий и сооружений,  наружное освещение памятников, парков и скверов, праздничную иллюминацию,   имеет первостепенную роль в восприятии эстетического облика городских улиц, площадей, придомовых территорий, создание комфортных условий проживания жителей, обеспечение безопасности движения транспорта и пешеходов в вечернее и ночное время.</w:t>
      </w:r>
      <w:proofErr w:type="gramEnd"/>
    </w:p>
    <w:p w:rsidR="00CC1246" w:rsidRPr="007547EF" w:rsidRDefault="00CC1246" w:rsidP="00297325">
      <w:pPr>
        <w:ind w:left="360" w:firstLine="348"/>
        <w:jc w:val="both"/>
        <w:rPr>
          <w:sz w:val="24"/>
          <w:szCs w:val="24"/>
        </w:rPr>
      </w:pPr>
      <w:r w:rsidRPr="007547EF">
        <w:rPr>
          <w:sz w:val="24"/>
          <w:szCs w:val="24"/>
        </w:rPr>
        <w:lastRenderedPageBreak/>
        <w:t>Объекты наружного освещения строились в различные годы по мере застройки городских территорий  на основании проектов тех лет.</w:t>
      </w:r>
    </w:p>
    <w:p w:rsidR="00CC1246" w:rsidRPr="007547EF" w:rsidRDefault="00CC1246" w:rsidP="00297325">
      <w:pPr>
        <w:ind w:firstLine="708"/>
        <w:jc w:val="both"/>
        <w:rPr>
          <w:sz w:val="24"/>
          <w:szCs w:val="24"/>
        </w:rPr>
      </w:pPr>
      <w:r w:rsidRPr="007547EF">
        <w:rPr>
          <w:sz w:val="24"/>
          <w:szCs w:val="24"/>
        </w:rPr>
        <w:t xml:space="preserve">В настоящее время в городском округе Электросталь Московской области  эксплуатируется 4220 единиц осветительных опор с </w:t>
      </w:r>
      <w:proofErr w:type="spellStart"/>
      <w:r w:rsidRPr="007547EF">
        <w:rPr>
          <w:sz w:val="24"/>
          <w:szCs w:val="24"/>
        </w:rPr>
        <w:t>однорожковыми</w:t>
      </w:r>
      <w:proofErr w:type="spellEnd"/>
      <w:r w:rsidRPr="007547EF">
        <w:rPr>
          <w:sz w:val="24"/>
          <w:szCs w:val="24"/>
        </w:rPr>
        <w:t xml:space="preserve"> светильниками устаревшего типа с протяженностью линий наружного освещения 143,5 км. Опоры наружного освещения железобетонные, часть из которых  из-за многочисленных трещин и оголения арматуры требуют замены. Линии наружного освещения представляют собой неизолированные алюминиевые провода. Силовые электрические кабели и трансформаторы, введенные в эксплуатацию в 60-е года прошлого столетия, изношены и не соответствуют технологическим и функциональным требованиям для использования современного электрооборудования для наружного освещения. Большинство проездов, внутриквартальных и внутридворовых территорий городского округа Электросталь Московской области, включая территории образовательных </w:t>
      </w:r>
      <w:proofErr w:type="gramStart"/>
      <w:r w:rsidRPr="007547EF">
        <w:rPr>
          <w:sz w:val="24"/>
          <w:szCs w:val="24"/>
        </w:rPr>
        <w:t>учреждений</w:t>
      </w:r>
      <w:proofErr w:type="gramEnd"/>
      <w:r w:rsidRPr="007547EF">
        <w:rPr>
          <w:sz w:val="24"/>
          <w:szCs w:val="24"/>
        </w:rPr>
        <w:t xml:space="preserve"> имеют недостаточное наружное освещение или не имеют его вовсе. Основная схема электроснабжения – однолучевая.</w:t>
      </w:r>
    </w:p>
    <w:p w:rsidR="00CC1246" w:rsidRPr="007547EF" w:rsidRDefault="00CC1246" w:rsidP="00297325">
      <w:pPr>
        <w:ind w:firstLine="708"/>
        <w:jc w:val="both"/>
        <w:rPr>
          <w:sz w:val="24"/>
          <w:szCs w:val="24"/>
        </w:rPr>
      </w:pPr>
      <w:proofErr w:type="gramStart"/>
      <w:r w:rsidRPr="007547EF">
        <w:rPr>
          <w:sz w:val="24"/>
          <w:szCs w:val="24"/>
        </w:rPr>
        <w:t xml:space="preserve">Несмотря на то, что в </w:t>
      </w:r>
      <w:r>
        <w:rPr>
          <w:sz w:val="24"/>
          <w:szCs w:val="24"/>
        </w:rPr>
        <w:t>последние</w:t>
      </w:r>
      <w:r w:rsidRPr="007547EF">
        <w:rPr>
          <w:sz w:val="24"/>
          <w:szCs w:val="24"/>
        </w:rPr>
        <w:t xml:space="preserve"> год</w:t>
      </w:r>
      <w:r>
        <w:rPr>
          <w:sz w:val="24"/>
          <w:szCs w:val="24"/>
        </w:rPr>
        <w:t>ы</w:t>
      </w:r>
      <w:r w:rsidRPr="007547EF">
        <w:rPr>
          <w:sz w:val="24"/>
          <w:szCs w:val="24"/>
        </w:rPr>
        <w:t xml:space="preserve"> проведены работы по монтажу 363 светильников, </w:t>
      </w:r>
      <w:r>
        <w:rPr>
          <w:sz w:val="24"/>
          <w:szCs w:val="24"/>
        </w:rPr>
        <w:t>более 25</w:t>
      </w:r>
      <w:r w:rsidRPr="007547EF">
        <w:rPr>
          <w:sz w:val="24"/>
          <w:szCs w:val="24"/>
        </w:rPr>
        <w:t xml:space="preserve"> км самонесущих изолированных проводов (СИП) типа «</w:t>
      </w:r>
      <w:proofErr w:type="spellStart"/>
      <w:r w:rsidRPr="007547EF">
        <w:rPr>
          <w:sz w:val="24"/>
          <w:szCs w:val="24"/>
        </w:rPr>
        <w:t>Торсадо</w:t>
      </w:r>
      <w:proofErr w:type="spellEnd"/>
      <w:r w:rsidRPr="007547EF">
        <w:rPr>
          <w:sz w:val="24"/>
          <w:szCs w:val="24"/>
        </w:rPr>
        <w:t xml:space="preserve">», </w:t>
      </w:r>
      <w:r>
        <w:rPr>
          <w:sz w:val="24"/>
          <w:szCs w:val="24"/>
        </w:rPr>
        <w:t>105</w:t>
      </w:r>
      <w:r w:rsidRPr="007547EF">
        <w:rPr>
          <w:sz w:val="24"/>
          <w:szCs w:val="24"/>
        </w:rPr>
        <w:t xml:space="preserve"> железобетонных опор, а также введены в эксплуатацию вновь построенные объекты уличного освещения по ул. Железнодорожная, ул. Юбилейная, пешеходным зонам отдыха по </w:t>
      </w:r>
      <w:proofErr w:type="spellStart"/>
      <w:r w:rsidRPr="007547EF">
        <w:rPr>
          <w:sz w:val="24"/>
          <w:szCs w:val="24"/>
        </w:rPr>
        <w:t>пр-ту</w:t>
      </w:r>
      <w:proofErr w:type="spellEnd"/>
      <w:r w:rsidRPr="007547EF">
        <w:rPr>
          <w:sz w:val="24"/>
          <w:szCs w:val="24"/>
        </w:rPr>
        <w:t xml:space="preserve"> Ленина, местному проезду вдоль </w:t>
      </w:r>
      <w:proofErr w:type="spellStart"/>
      <w:r w:rsidRPr="007547EF">
        <w:rPr>
          <w:sz w:val="24"/>
          <w:szCs w:val="24"/>
        </w:rPr>
        <w:t>Фрязевского</w:t>
      </w:r>
      <w:proofErr w:type="spellEnd"/>
      <w:r w:rsidRPr="007547EF">
        <w:rPr>
          <w:sz w:val="24"/>
          <w:szCs w:val="24"/>
        </w:rPr>
        <w:t xml:space="preserve"> шоссе и оформлена подсветка отдельных зданий, необходимо решить задачи, которые</w:t>
      </w:r>
      <w:proofErr w:type="gramEnd"/>
      <w:r w:rsidRPr="007547EF">
        <w:rPr>
          <w:sz w:val="24"/>
          <w:szCs w:val="24"/>
        </w:rPr>
        <w:t xml:space="preserve"> повысят надежность работы установок наружного освещения, сократят расходы на энергопотребление, улучшат эстетический облик городского округа Электросталь Московской области. </w:t>
      </w:r>
    </w:p>
    <w:p w:rsidR="00B11EE2" w:rsidRPr="00CA414C" w:rsidRDefault="00B11EE2" w:rsidP="00297325">
      <w:pPr>
        <w:ind w:firstLine="720"/>
        <w:jc w:val="both"/>
        <w:rPr>
          <w:sz w:val="24"/>
          <w:szCs w:val="24"/>
        </w:rPr>
      </w:pPr>
      <w:r w:rsidRPr="00CA414C">
        <w:rPr>
          <w:sz w:val="24"/>
          <w:szCs w:val="24"/>
        </w:rPr>
        <w:t>Вместе с тем, 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B11EE2" w:rsidRPr="005D38E3" w:rsidRDefault="00B11EE2" w:rsidP="00297325">
      <w:pPr>
        <w:ind w:firstLine="720"/>
        <w:jc w:val="both"/>
        <w:rPr>
          <w:sz w:val="24"/>
          <w:szCs w:val="24"/>
        </w:rPr>
      </w:pPr>
      <w:proofErr w:type="gramStart"/>
      <w:r w:rsidRPr="005D38E3">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электрической и тепловой энергии и ресурсов других видов на территории городского округа и, прежде всего, в органах местного самоуправления, муниципальных учреждениях, муниципальных унитарных предприятиях.</w:t>
      </w:r>
      <w:proofErr w:type="gramEnd"/>
    </w:p>
    <w:p w:rsidR="00B11EE2" w:rsidRPr="005D38E3" w:rsidRDefault="00B11EE2" w:rsidP="00297325">
      <w:pPr>
        <w:ind w:firstLine="720"/>
        <w:jc w:val="both"/>
        <w:rPr>
          <w:sz w:val="24"/>
          <w:szCs w:val="24"/>
        </w:rPr>
      </w:pPr>
      <w:r w:rsidRPr="005D38E3">
        <w:rPr>
          <w:sz w:val="24"/>
          <w:szCs w:val="24"/>
        </w:rPr>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программы энергосбережения, а также иных целевых программ. </w:t>
      </w:r>
    </w:p>
    <w:p w:rsidR="00297325" w:rsidRDefault="009C22BC" w:rsidP="00297325">
      <w:pPr>
        <w:tabs>
          <w:tab w:val="num" w:pos="0"/>
        </w:tabs>
        <w:ind w:firstLine="591"/>
        <w:jc w:val="both"/>
        <w:rPr>
          <w:sz w:val="24"/>
          <w:szCs w:val="24"/>
        </w:rPr>
      </w:pPr>
      <w:r>
        <w:rPr>
          <w:sz w:val="24"/>
          <w:szCs w:val="24"/>
        </w:rPr>
        <w:t xml:space="preserve">  </w:t>
      </w:r>
      <w:r w:rsidR="00B11EE2" w:rsidRPr="005D38E3">
        <w:rPr>
          <w:sz w:val="24"/>
          <w:szCs w:val="24"/>
        </w:rPr>
        <w:t>В предстоящий период на территории городского округа должны быть выполнены установленные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требования, в части управления процессом энергосбережения и повышения энергетической эффективности.</w:t>
      </w:r>
    </w:p>
    <w:p w:rsidR="00B11EE2" w:rsidRPr="005D38E3" w:rsidRDefault="00B11EE2" w:rsidP="00297325">
      <w:pPr>
        <w:tabs>
          <w:tab w:val="num" w:pos="0"/>
        </w:tabs>
        <w:ind w:firstLine="591"/>
        <w:jc w:val="both"/>
        <w:rPr>
          <w:sz w:val="24"/>
          <w:szCs w:val="24"/>
        </w:rPr>
      </w:pPr>
      <w:r w:rsidRPr="005D38E3">
        <w:rPr>
          <w:sz w:val="24"/>
          <w:szCs w:val="24"/>
        </w:rPr>
        <w:t>Необходимость решения проблемы энергосбережения программно-целевым методом обусловлена следующими причинами:</w:t>
      </w:r>
    </w:p>
    <w:p w:rsidR="00B11EE2" w:rsidRPr="00297325" w:rsidRDefault="00B11EE2" w:rsidP="00297325">
      <w:pPr>
        <w:pStyle w:val="a6"/>
        <w:numPr>
          <w:ilvl w:val="0"/>
          <w:numId w:val="9"/>
        </w:numPr>
        <w:jc w:val="both"/>
        <w:rPr>
          <w:sz w:val="24"/>
          <w:szCs w:val="24"/>
        </w:rPr>
      </w:pPr>
      <w:r w:rsidRPr="00297325">
        <w:rPr>
          <w:sz w:val="24"/>
          <w:szCs w:val="24"/>
        </w:rPr>
        <w:t>невозможностью комплексного решения проблемы в требуемые сроки за счет использования действующего рыночного механизма;</w:t>
      </w:r>
    </w:p>
    <w:p w:rsidR="00297325" w:rsidRPr="00297325" w:rsidRDefault="00B11EE2" w:rsidP="00297325">
      <w:pPr>
        <w:pStyle w:val="a6"/>
        <w:numPr>
          <w:ilvl w:val="0"/>
          <w:numId w:val="9"/>
        </w:numPr>
        <w:jc w:val="both"/>
        <w:rPr>
          <w:sz w:val="24"/>
          <w:szCs w:val="24"/>
        </w:rPr>
      </w:pPr>
      <w:r w:rsidRPr="00297325">
        <w:rPr>
          <w:sz w:val="24"/>
          <w:szCs w:val="24"/>
        </w:rPr>
        <w:t>комплексным характером проблемы и необходимостью координации действий по ее решению;</w:t>
      </w:r>
    </w:p>
    <w:p w:rsidR="00297325" w:rsidRPr="00297325" w:rsidRDefault="00B11EE2" w:rsidP="00297325">
      <w:pPr>
        <w:pStyle w:val="a6"/>
        <w:numPr>
          <w:ilvl w:val="0"/>
          <w:numId w:val="9"/>
        </w:numPr>
        <w:jc w:val="both"/>
        <w:rPr>
          <w:sz w:val="24"/>
          <w:szCs w:val="24"/>
        </w:rPr>
      </w:pPr>
      <w:r w:rsidRPr="00297325">
        <w:rPr>
          <w:sz w:val="24"/>
          <w:szCs w:val="24"/>
        </w:rPr>
        <w:t xml:space="preserve">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муниципальной «Программы комплексного развития систем коммунальной инфраструктуры и объектов, используемых для утилизации (захоронения)  твердых бытовых отходов, городского округа Электросталь на период до </w:t>
      </w:r>
      <w:smartTag w:uri="urn:schemas-microsoft-com:office:smarttags" w:element="metricconverter">
        <w:smartTagPr>
          <w:attr w:name="ProductID" w:val="2020 г"/>
        </w:smartTagPr>
        <w:r w:rsidRPr="00297325">
          <w:rPr>
            <w:sz w:val="24"/>
            <w:szCs w:val="24"/>
          </w:rPr>
          <w:t>2020 г</w:t>
        </w:r>
      </w:smartTag>
      <w:r w:rsidRPr="00297325">
        <w:rPr>
          <w:sz w:val="24"/>
          <w:szCs w:val="24"/>
        </w:rPr>
        <w:t>.»</w:t>
      </w:r>
      <w:r w:rsidRPr="00297325">
        <w:rPr>
          <w:bCs/>
          <w:sz w:val="24"/>
          <w:szCs w:val="24"/>
        </w:rPr>
        <w:t>;</w:t>
      </w:r>
    </w:p>
    <w:p w:rsidR="00297325" w:rsidRDefault="00B11EE2" w:rsidP="00297325">
      <w:pPr>
        <w:pStyle w:val="a6"/>
        <w:numPr>
          <w:ilvl w:val="0"/>
          <w:numId w:val="9"/>
        </w:numPr>
        <w:jc w:val="both"/>
        <w:rPr>
          <w:sz w:val="24"/>
          <w:szCs w:val="24"/>
        </w:rPr>
      </w:pPr>
      <w:r w:rsidRPr="00297325">
        <w:rPr>
          <w:sz w:val="24"/>
          <w:szCs w:val="24"/>
        </w:rPr>
        <w:t xml:space="preserve">необходимостью обеспечить выполнение задач социально-экономического развития, поставленных на федеральном, региональном и местном уровне; </w:t>
      </w:r>
    </w:p>
    <w:p w:rsidR="00B11EE2" w:rsidRPr="00EB1B94" w:rsidRDefault="00B11EE2" w:rsidP="00EB1B94">
      <w:pPr>
        <w:pStyle w:val="a6"/>
        <w:numPr>
          <w:ilvl w:val="0"/>
          <w:numId w:val="9"/>
        </w:numPr>
        <w:jc w:val="both"/>
        <w:rPr>
          <w:sz w:val="24"/>
          <w:szCs w:val="24"/>
        </w:rPr>
      </w:pPr>
      <w:r w:rsidRPr="00297325">
        <w:rPr>
          <w:sz w:val="24"/>
          <w:szCs w:val="24"/>
        </w:rPr>
        <w:t xml:space="preserve"> необходимостью повышения эффективности расходования бюджетных средств и снижения ри</w:t>
      </w:r>
      <w:r w:rsidR="00EB1B94">
        <w:rPr>
          <w:sz w:val="24"/>
          <w:szCs w:val="24"/>
        </w:rPr>
        <w:t>сков развития городского округа.</w:t>
      </w:r>
    </w:p>
    <w:sectPr w:rsidR="00B11EE2" w:rsidRPr="00EB1B94" w:rsidSect="001A61F9">
      <w:footerReference w:type="default" r:id="rId9"/>
      <w:pgSz w:w="16838" w:h="11906" w:orient="landscape"/>
      <w:pgMar w:top="567" w:right="567" w:bottom="567" w:left="567" w:header="709" w:footer="2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52" w:rsidRDefault="00437A52" w:rsidP="001A61F9">
      <w:r>
        <w:separator/>
      </w:r>
    </w:p>
  </w:endnote>
  <w:endnote w:type="continuationSeparator" w:id="0">
    <w:p w:rsidR="00437A52" w:rsidRDefault="00437A52" w:rsidP="001A6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449136540"/>
      <w:docPartObj>
        <w:docPartGallery w:val="Page Numbers (Bottom of Page)"/>
        <w:docPartUnique/>
      </w:docPartObj>
    </w:sdtPr>
    <w:sdtContent>
      <w:p w:rsidR="001A61F9" w:rsidRPr="001A61F9" w:rsidRDefault="00530063">
        <w:pPr>
          <w:pStyle w:val="a9"/>
          <w:jc w:val="center"/>
          <w:rPr>
            <w:sz w:val="22"/>
            <w:szCs w:val="22"/>
          </w:rPr>
        </w:pPr>
        <w:r w:rsidRPr="001A61F9">
          <w:rPr>
            <w:sz w:val="22"/>
            <w:szCs w:val="22"/>
          </w:rPr>
          <w:fldChar w:fldCharType="begin"/>
        </w:r>
        <w:r w:rsidR="001A61F9" w:rsidRPr="001A61F9">
          <w:rPr>
            <w:sz w:val="22"/>
            <w:szCs w:val="22"/>
          </w:rPr>
          <w:instrText>PAGE   \* MERGEFORMAT</w:instrText>
        </w:r>
        <w:r w:rsidRPr="001A61F9">
          <w:rPr>
            <w:sz w:val="22"/>
            <w:szCs w:val="22"/>
          </w:rPr>
          <w:fldChar w:fldCharType="separate"/>
        </w:r>
        <w:r w:rsidR="00EB1B94">
          <w:rPr>
            <w:noProof/>
            <w:sz w:val="22"/>
            <w:szCs w:val="22"/>
          </w:rPr>
          <w:t>2</w:t>
        </w:r>
        <w:r w:rsidRPr="001A61F9">
          <w:rPr>
            <w:sz w:val="22"/>
            <w:szCs w:val="22"/>
          </w:rPr>
          <w:fldChar w:fldCharType="end"/>
        </w:r>
      </w:p>
    </w:sdtContent>
  </w:sdt>
  <w:p w:rsidR="001A61F9" w:rsidRDefault="001A61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52" w:rsidRDefault="00437A52" w:rsidP="001A61F9">
      <w:r>
        <w:separator/>
      </w:r>
    </w:p>
  </w:footnote>
  <w:footnote w:type="continuationSeparator" w:id="0">
    <w:p w:rsidR="00437A52" w:rsidRDefault="00437A52" w:rsidP="001A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3B6F4782"/>
    <w:multiLevelType w:val="hybridMultilevel"/>
    <w:tmpl w:val="1746484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573B4"/>
    <w:multiLevelType w:val="hybridMultilevel"/>
    <w:tmpl w:val="2380721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11EE2"/>
    <w:rsid w:val="000E307F"/>
    <w:rsid w:val="0014684F"/>
    <w:rsid w:val="001A61F9"/>
    <w:rsid w:val="00297325"/>
    <w:rsid w:val="00323A18"/>
    <w:rsid w:val="00362800"/>
    <w:rsid w:val="0037724E"/>
    <w:rsid w:val="00437A52"/>
    <w:rsid w:val="00520A20"/>
    <w:rsid w:val="00530063"/>
    <w:rsid w:val="005A7044"/>
    <w:rsid w:val="00622250"/>
    <w:rsid w:val="007565D4"/>
    <w:rsid w:val="007969A4"/>
    <w:rsid w:val="008971B5"/>
    <w:rsid w:val="008F7123"/>
    <w:rsid w:val="00902A41"/>
    <w:rsid w:val="00927DB0"/>
    <w:rsid w:val="009C22BC"/>
    <w:rsid w:val="00A113D2"/>
    <w:rsid w:val="00A75B83"/>
    <w:rsid w:val="00B11EE2"/>
    <w:rsid w:val="00CC1246"/>
    <w:rsid w:val="00D50BD4"/>
    <w:rsid w:val="00EB1B94"/>
    <w:rsid w:val="00EB3548"/>
    <w:rsid w:val="00EE244E"/>
    <w:rsid w:val="00F607CB"/>
    <w:rsid w:val="00FE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E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11E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E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307F"/>
    <w:pPr>
      <w:spacing w:before="100" w:beforeAutospacing="1" w:after="100" w:afterAutospacing="1"/>
    </w:pPr>
    <w:rPr>
      <w:sz w:val="24"/>
      <w:szCs w:val="24"/>
    </w:rPr>
  </w:style>
  <w:style w:type="paragraph" w:styleId="a4">
    <w:name w:val="No Spacing"/>
    <w:uiPriority w:val="1"/>
    <w:qFormat/>
    <w:rsid w:val="000E307F"/>
    <w:pPr>
      <w:spacing w:after="0" w:line="240" w:lineRule="auto"/>
    </w:pPr>
    <w:rPr>
      <w:rFonts w:ascii="Times New Roman" w:eastAsia="Times New Roman" w:hAnsi="Times New Roman" w:cs="Times New Roman"/>
      <w:sz w:val="20"/>
      <w:szCs w:val="20"/>
      <w:lang w:eastAsia="ru-RU"/>
    </w:rPr>
  </w:style>
  <w:style w:type="paragraph" w:customStyle="1" w:styleId="a5">
    <w:name w:val="Знак Знак Знак Знак"/>
    <w:basedOn w:val="a"/>
    <w:rsid w:val="00362800"/>
    <w:pPr>
      <w:spacing w:after="160" w:line="240" w:lineRule="exact"/>
    </w:pPr>
    <w:rPr>
      <w:rFonts w:ascii="Arial" w:hAnsi="Arial" w:cs="Arial"/>
      <w:lang w:val="en-US" w:eastAsia="en-US"/>
    </w:rPr>
  </w:style>
  <w:style w:type="paragraph" w:styleId="2">
    <w:name w:val="Body Text Indent 2"/>
    <w:basedOn w:val="a"/>
    <w:link w:val="20"/>
    <w:rsid w:val="00902A41"/>
    <w:pPr>
      <w:spacing w:after="120" w:line="480" w:lineRule="auto"/>
      <w:ind w:left="283"/>
    </w:pPr>
  </w:style>
  <w:style w:type="character" w:customStyle="1" w:styleId="20">
    <w:name w:val="Основной текст с отступом 2 Знак"/>
    <w:basedOn w:val="a0"/>
    <w:link w:val="2"/>
    <w:rsid w:val="00902A41"/>
    <w:rPr>
      <w:rFonts w:ascii="Times New Roman" w:eastAsia="Times New Roman" w:hAnsi="Times New Roman" w:cs="Times New Roman"/>
      <w:sz w:val="20"/>
      <w:szCs w:val="20"/>
      <w:lang w:eastAsia="ru-RU"/>
    </w:rPr>
  </w:style>
  <w:style w:type="paragraph" w:styleId="a6">
    <w:name w:val="List Paragraph"/>
    <w:basedOn w:val="a"/>
    <w:uiPriority w:val="34"/>
    <w:qFormat/>
    <w:rsid w:val="00297325"/>
    <w:pPr>
      <w:ind w:left="720"/>
      <w:contextualSpacing/>
    </w:pPr>
  </w:style>
  <w:style w:type="paragraph" w:styleId="a7">
    <w:name w:val="header"/>
    <w:basedOn w:val="a"/>
    <w:link w:val="a8"/>
    <w:uiPriority w:val="99"/>
    <w:unhideWhenUsed/>
    <w:rsid w:val="001A61F9"/>
    <w:pPr>
      <w:tabs>
        <w:tab w:val="center" w:pos="4677"/>
        <w:tab w:val="right" w:pos="9355"/>
      </w:tabs>
    </w:pPr>
  </w:style>
  <w:style w:type="character" w:customStyle="1" w:styleId="a8">
    <w:name w:val="Верхний колонтитул Знак"/>
    <w:basedOn w:val="a0"/>
    <w:link w:val="a7"/>
    <w:uiPriority w:val="99"/>
    <w:rsid w:val="001A61F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A61F9"/>
    <w:pPr>
      <w:tabs>
        <w:tab w:val="center" w:pos="4677"/>
        <w:tab w:val="right" w:pos="9355"/>
      </w:tabs>
    </w:pPr>
  </w:style>
  <w:style w:type="character" w:customStyle="1" w:styleId="aa">
    <w:name w:val="Нижний колонтитул Знак"/>
    <w:basedOn w:val="a0"/>
    <w:link w:val="a9"/>
    <w:uiPriority w:val="99"/>
    <w:rsid w:val="001A61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1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FCCD5B2118CD8D9BFA0026357FBEBC6F1B6904C97FA3FU1l0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D7264-9E17-4075-AB25-41C66E34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zinoviev</dc:creator>
  <cp:lastModifiedBy>pressa</cp:lastModifiedBy>
  <cp:revision>11</cp:revision>
  <dcterms:created xsi:type="dcterms:W3CDTF">2014-10-22T12:37:00Z</dcterms:created>
  <dcterms:modified xsi:type="dcterms:W3CDTF">2014-11-17T09:56:00Z</dcterms:modified>
</cp:coreProperties>
</file>