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Default="00DB24C1" w:rsidP="00DB24C1">
      <w:pPr>
        <w:ind w:left="-1474" w:right="-569"/>
        <w:jc w:val="center"/>
      </w:pPr>
      <w:bookmarkStart w:id="0" w:name="_GoBack"/>
      <w:bookmarkEnd w:id="0"/>
      <w:r w:rsidRPr="001E1CE7">
        <w:rPr>
          <w:noProof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37687" w:rsidRDefault="00DB24C1" w:rsidP="00DB24C1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DB24C1" w:rsidRDefault="00DB24C1" w:rsidP="00DB24C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DB24C1" w:rsidRPr="00FC1C14" w:rsidRDefault="00DB24C1" w:rsidP="00DB24C1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DB24C1" w:rsidRDefault="00DB24C1" w:rsidP="00DB24C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B24C1" w:rsidRPr="0058294C" w:rsidRDefault="00DB24C1" w:rsidP="00DB24C1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DB24C1" w:rsidRDefault="00DB24C1" w:rsidP="00DB24C1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B24C1" w:rsidRPr="00537687" w:rsidRDefault="00DB24C1" w:rsidP="00DB24C1">
      <w:pPr>
        <w:ind w:left="-1560" w:right="-567"/>
        <w:jc w:val="center"/>
        <w:rPr>
          <w:b/>
        </w:rPr>
      </w:pPr>
    </w:p>
    <w:p w:rsidR="00DB24C1" w:rsidRDefault="00DB24C1" w:rsidP="00DB24C1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>
        <w:softHyphen/>
      </w:r>
      <w:r>
        <w:softHyphen/>
        <w:t>_________________ № __________</w:t>
      </w:r>
    </w:p>
    <w:p w:rsidR="00DB24C1" w:rsidRDefault="00DB24C1" w:rsidP="00DB24C1">
      <w:pPr>
        <w:jc w:val="center"/>
        <w:outlineLvl w:val="0"/>
      </w:pPr>
    </w:p>
    <w:p w:rsidR="00DB24C1" w:rsidRDefault="00DB24C1" w:rsidP="00DB24C1">
      <w:pPr>
        <w:jc w:val="both"/>
      </w:pPr>
    </w:p>
    <w:p w:rsidR="007D3C3E" w:rsidRDefault="007D3C3E" w:rsidP="007D3C3E">
      <w:pPr>
        <w:spacing w:line="240" w:lineRule="exact"/>
        <w:jc w:val="center"/>
      </w:pPr>
      <w:r>
        <w:rPr>
          <w:rFonts w:cs="Times New Roman"/>
        </w:rPr>
        <w:t>Об утверждении м</w:t>
      </w:r>
      <w:r w:rsidRPr="007E3D9C">
        <w:t>униципальной программы</w:t>
      </w:r>
      <w:r>
        <w:t xml:space="preserve"> </w:t>
      </w:r>
    </w:p>
    <w:p w:rsidR="007D3C3E" w:rsidRDefault="007D3C3E" w:rsidP="007D3C3E">
      <w:pPr>
        <w:spacing w:line="240" w:lineRule="exact"/>
        <w:jc w:val="center"/>
      </w:pPr>
      <w:r>
        <w:t>городского округа Электросталь Московской области</w:t>
      </w:r>
    </w:p>
    <w:p w:rsidR="007D3C3E" w:rsidRDefault="007D3C3E" w:rsidP="007D3C3E">
      <w:pPr>
        <w:spacing w:line="240" w:lineRule="exact"/>
        <w:jc w:val="center"/>
      </w:pPr>
      <w:r w:rsidRPr="007E3D9C">
        <w:t>«</w:t>
      </w:r>
      <w:r>
        <w:t xml:space="preserve">Образование» </w:t>
      </w:r>
    </w:p>
    <w:p w:rsidR="007D3C3E" w:rsidRPr="008A100B" w:rsidRDefault="007D3C3E" w:rsidP="007D3C3E">
      <w:pPr>
        <w:spacing w:line="240" w:lineRule="exact"/>
      </w:pPr>
    </w:p>
    <w:p w:rsidR="007D3C3E" w:rsidRDefault="007D3C3E" w:rsidP="007D3C3E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>
        <w:rPr>
          <w:rFonts w:cs="Times New Roman"/>
        </w:rPr>
        <w:t xml:space="preserve"> на 2017-2025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25.10.2016 </w:t>
      </w:r>
      <w:r>
        <w:rPr>
          <w:rFonts w:cs="Times New Roman"/>
        </w:rPr>
        <w:t xml:space="preserve">№ </w:t>
      </w:r>
      <w:r w:rsidRPr="00C60CD7">
        <w:rPr>
          <w:rFonts w:cs="Times New Roman"/>
        </w:rPr>
        <w:t>78</w:t>
      </w:r>
      <w:r>
        <w:rPr>
          <w:rFonts w:cs="Times New Roman"/>
        </w:rPr>
        <w:t>4</w:t>
      </w:r>
      <w:r w:rsidRPr="00C60CD7">
        <w:rPr>
          <w:rFonts w:cs="Times New Roman"/>
        </w:rPr>
        <w:t>/39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>
        <w:t xml:space="preserve"> </w:t>
      </w:r>
      <w:r w:rsidRPr="009120FA">
        <w:t>651/8</w:t>
      </w:r>
      <w:r>
        <w:t xml:space="preserve">, </w:t>
      </w:r>
      <w:r w:rsidRPr="00060BDE">
        <w:t>Перечне</w:t>
      </w:r>
      <w:r>
        <w:t>м</w:t>
      </w:r>
      <w:r w:rsidRPr="00060BDE">
        <w:t xml:space="preserve"> муниципальных программ городского округа Электросталь Московской области</w:t>
      </w:r>
      <w:r>
        <w:t xml:space="preserve">, </w:t>
      </w:r>
      <w:r w:rsidRPr="009120FA">
        <w:t>утвержденным постановлением Администрации городского округа Элект</w:t>
      </w:r>
      <w:r>
        <w:t>росталь Московской области от 23</w:t>
      </w:r>
      <w:r w:rsidRPr="009120FA">
        <w:t>.0</w:t>
      </w:r>
      <w:r>
        <w:t>9</w:t>
      </w:r>
      <w:r w:rsidRPr="009120FA">
        <w:t>.201</w:t>
      </w:r>
      <w:r>
        <w:t>9</w:t>
      </w:r>
      <w:r w:rsidRPr="009120FA">
        <w:t xml:space="preserve"> №</w:t>
      </w:r>
      <w:r>
        <w:t xml:space="preserve"> </w:t>
      </w:r>
      <w:r w:rsidRPr="009120FA">
        <w:t>6</w:t>
      </w:r>
      <w:r>
        <w:t>61</w:t>
      </w:r>
      <w:r w:rsidRPr="009120FA">
        <w:t>/</w:t>
      </w:r>
      <w:r>
        <w:t>9, в</w:t>
      </w:r>
      <w:r w:rsidRPr="00060BDE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</w:t>
      </w:r>
      <w:r>
        <w:rPr>
          <w:rFonts w:cs="Times New Roman"/>
        </w:rPr>
        <w:t>,</w:t>
      </w:r>
      <w:r w:rsidRPr="00FD31B6">
        <w:rPr>
          <w:kern w:val="16"/>
        </w:rPr>
        <w:t xml:space="preserve"> </w:t>
      </w:r>
      <w:r w:rsidRPr="009120FA">
        <w:rPr>
          <w:kern w:val="16"/>
        </w:rPr>
        <w:t xml:space="preserve">Администрация </w:t>
      </w:r>
      <w:r w:rsidRPr="009120FA">
        <w:t xml:space="preserve">городского округа Электросталь Московской области </w:t>
      </w:r>
      <w:r w:rsidRPr="008A100B">
        <w:t>ПОСТАНОВЛЯЕТ:</w:t>
      </w:r>
    </w:p>
    <w:p w:rsidR="007D3C3E" w:rsidRDefault="007D3C3E" w:rsidP="007D3C3E">
      <w:pPr>
        <w:ind w:firstLine="709"/>
        <w:jc w:val="both"/>
      </w:pPr>
      <w:r w:rsidRPr="008A100B">
        <w:t>1. </w:t>
      </w:r>
      <w:r>
        <w:t xml:space="preserve">Утвердить </w:t>
      </w:r>
      <w:r w:rsidRPr="008A100B">
        <w:t>муниципальн</w:t>
      </w:r>
      <w:r>
        <w:t>ую</w:t>
      </w:r>
      <w:r w:rsidRPr="008A100B">
        <w:t xml:space="preserve"> программ</w:t>
      </w:r>
      <w:r>
        <w:t xml:space="preserve">у городского округа Электросталь Московской области «Образование» (прилагается). </w:t>
      </w:r>
    </w:p>
    <w:p w:rsidR="007D3C3E" w:rsidRDefault="007D3C3E" w:rsidP="007D3C3E">
      <w:pPr>
        <w:ind w:firstLine="709"/>
        <w:jc w:val="both"/>
      </w:pPr>
      <w:r>
        <w:t>2.</w:t>
      </w:r>
      <w:r w:rsidRPr="002B6811">
        <w:rPr>
          <w:rFonts w:cs="Times New Roman"/>
        </w:rPr>
        <w:t xml:space="preserve"> </w:t>
      </w:r>
      <w:r w:rsidRPr="00060BDE">
        <w:rPr>
          <w:rFonts w:cs="Times New Roman"/>
        </w:rPr>
        <w:t xml:space="preserve">Досрочно прекратить реализацию </w:t>
      </w:r>
      <w:r>
        <w:rPr>
          <w:rFonts w:cs="Times New Roman"/>
        </w:rPr>
        <w:t>муниципальной программы «</w:t>
      </w:r>
      <w:r>
        <w:t>Развитие системы образования городского округа Электросталь</w:t>
      </w:r>
      <w:r>
        <w:rPr>
          <w:rFonts w:cs="Times New Roman"/>
        </w:rPr>
        <w:t>» на 2017-2021 годы,</w:t>
      </w:r>
      <w:r w:rsidRPr="00060BDE">
        <w:rPr>
          <w:rFonts w:cs="Times New Roman"/>
        </w:rPr>
        <w:t xml:space="preserve"> утвержденн</w:t>
      </w:r>
      <w:r>
        <w:rPr>
          <w:rFonts w:cs="Times New Roman"/>
        </w:rPr>
        <w:t xml:space="preserve">ой </w:t>
      </w:r>
      <w:r w:rsidRPr="00060BDE">
        <w:rPr>
          <w:rFonts w:cs="Times New Roman"/>
        </w:rPr>
        <w:t xml:space="preserve">постановлением </w:t>
      </w:r>
      <w:r w:rsidRPr="009120FA">
        <w:t>Администрации городского округа Элект</w:t>
      </w:r>
      <w:r>
        <w:t xml:space="preserve">росталь Московской </w:t>
      </w:r>
      <w:r w:rsidR="00394354">
        <w:t xml:space="preserve">     </w:t>
      </w:r>
      <w:r>
        <w:t>области  о</w:t>
      </w:r>
      <w:r w:rsidRPr="00C60CD7">
        <w:t>т</w:t>
      </w:r>
      <w:r w:rsidR="00394354">
        <w:t xml:space="preserve"> </w:t>
      </w:r>
      <w:r>
        <w:t>14</w:t>
      </w:r>
      <w:r w:rsidRPr="00C60CD7">
        <w:t>.12.201</w:t>
      </w:r>
      <w:r>
        <w:t xml:space="preserve">6 </w:t>
      </w:r>
      <w:r w:rsidRPr="00C60CD7">
        <w:t>№ 8</w:t>
      </w:r>
      <w:r>
        <w:t>96</w:t>
      </w:r>
      <w:r w:rsidRPr="00C60CD7">
        <w:t>/1</w:t>
      </w:r>
      <w:r>
        <w:t>6.</w:t>
      </w:r>
    </w:p>
    <w:p w:rsidR="007D3C3E" w:rsidRDefault="007D3C3E" w:rsidP="007D3C3E">
      <w:pPr>
        <w:jc w:val="both"/>
      </w:pPr>
      <w:r>
        <w:t xml:space="preserve">           3</w:t>
      </w:r>
      <w:r>
        <w:rPr>
          <w:rFonts w:cs="Times New Roman"/>
        </w:rPr>
        <w:t xml:space="preserve">. </w:t>
      </w:r>
      <w:r w:rsidR="00432782">
        <w:t xml:space="preserve">Признать утратившим силу постановление Администрации городского округа Электросталь Московской области </w:t>
      </w:r>
      <w:r w:rsidR="00432782" w:rsidRPr="008C3C58">
        <w:t>от 14.12.2016 №</w:t>
      </w:r>
      <w:r w:rsidR="00432782">
        <w:t xml:space="preserve"> </w:t>
      </w:r>
      <w:r w:rsidR="00432782" w:rsidRPr="008C3C58">
        <w:t>89</w:t>
      </w:r>
      <w:r w:rsidR="00432782">
        <w:t>6</w:t>
      </w:r>
      <w:r w:rsidR="00432782" w:rsidRPr="008C3C58">
        <w:t>/16 «Об утверждении муниципальной программы «</w:t>
      </w:r>
      <w:r w:rsidR="00432782">
        <w:t>Развитие системы образования городского округа Электросталь</w:t>
      </w:r>
      <w:r w:rsidR="00432782" w:rsidRPr="008C3C58">
        <w:t>» на 2017-2021 годы» (с</w:t>
      </w:r>
      <w:r w:rsidR="00432782">
        <w:t> </w:t>
      </w:r>
      <w:r w:rsidR="00432782" w:rsidRPr="008C3C58">
        <w:t>измен</w:t>
      </w:r>
      <w:r w:rsidR="00432782">
        <w:t>ениями, внесенными постановления</w:t>
      </w:r>
      <w:r w:rsidR="00432782" w:rsidRPr="008C3C58">
        <w:t>м</w:t>
      </w:r>
      <w:r w:rsidR="00432782">
        <w:t>и</w:t>
      </w:r>
      <w:r w:rsidR="00432782" w:rsidRPr="008C3C58">
        <w:t xml:space="preserve"> Администрации городского округа Электросталь Московской области от</w:t>
      </w:r>
      <w:r w:rsidR="00432782">
        <w:t xml:space="preserve"> 31.01.2017 №45/1, от 27.03.2017 №174/3, от 23.06.2017 №424/6, от 02.10.2017 №692/10, </w:t>
      </w:r>
      <w:r w:rsidR="00432782" w:rsidRPr="009120FA">
        <w:t xml:space="preserve">от </w:t>
      </w:r>
      <w:r w:rsidR="00432782">
        <w:t>30</w:t>
      </w:r>
      <w:r w:rsidR="00432782" w:rsidRPr="009120FA">
        <w:t>.</w:t>
      </w:r>
      <w:r w:rsidR="00432782">
        <w:t>03</w:t>
      </w:r>
      <w:r w:rsidR="00432782" w:rsidRPr="009120FA">
        <w:t>.201</w:t>
      </w:r>
      <w:r w:rsidR="00432782">
        <w:t>8 №253</w:t>
      </w:r>
      <w:r w:rsidR="00432782" w:rsidRPr="009120FA">
        <w:t>/</w:t>
      </w:r>
      <w:r w:rsidR="00432782">
        <w:t>3</w:t>
      </w:r>
      <w:r w:rsidR="00432782" w:rsidRPr="009120FA">
        <w:t xml:space="preserve">, </w:t>
      </w:r>
      <w:r w:rsidR="00432782">
        <w:t xml:space="preserve">от 26.04.2018 №356/4, от 27.06.2018 №581/6, </w:t>
      </w:r>
      <w:r w:rsidR="00432782" w:rsidRPr="009120FA">
        <w:t>от</w:t>
      </w:r>
      <w:r w:rsidR="00432782">
        <w:t> 24</w:t>
      </w:r>
      <w:r w:rsidR="00432782" w:rsidRPr="009120FA">
        <w:t>.</w:t>
      </w:r>
      <w:r w:rsidR="00432782">
        <w:t>10</w:t>
      </w:r>
      <w:r w:rsidR="00432782" w:rsidRPr="009120FA">
        <w:t>.2018 №</w:t>
      </w:r>
      <w:r w:rsidR="00432782">
        <w:t>988</w:t>
      </w:r>
      <w:r w:rsidR="00432782" w:rsidRPr="009120FA">
        <w:t>/</w:t>
      </w:r>
      <w:r w:rsidR="00432782">
        <w:t>10</w:t>
      </w:r>
      <w:r w:rsidR="00432782" w:rsidRPr="009120FA">
        <w:t xml:space="preserve">, от </w:t>
      </w:r>
      <w:r w:rsidR="00432782">
        <w:t>14</w:t>
      </w:r>
      <w:r w:rsidR="00432782" w:rsidRPr="009120FA">
        <w:t>.</w:t>
      </w:r>
      <w:r w:rsidR="00432782">
        <w:t>11</w:t>
      </w:r>
      <w:r w:rsidR="00432782" w:rsidRPr="009120FA">
        <w:t>.2018 №</w:t>
      </w:r>
      <w:r w:rsidR="00432782">
        <w:t>1036</w:t>
      </w:r>
      <w:r w:rsidR="00432782" w:rsidRPr="009120FA">
        <w:t>/</w:t>
      </w:r>
      <w:r w:rsidR="00432782">
        <w:t>11</w:t>
      </w:r>
      <w:r w:rsidR="00432782" w:rsidRPr="009120FA">
        <w:t xml:space="preserve">, от </w:t>
      </w:r>
      <w:r w:rsidR="00432782">
        <w:t>21</w:t>
      </w:r>
      <w:r w:rsidR="00432782" w:rsidRPr="009120FA">
        <w:t>.</w:t>
      </w:r>
      <w:r w:rsidR="00432782">
        <w:t>12</w:t>
      </w:r>
      <w:r w:rsidR="00432782" w:rsidRPr="009120FA">
        <w:t>.2018 №</w:t>
      </w:r>
      <w:r w:rsidR="00432782">
        <w:t>1191</w:t>
      </w:r>
      <w:r w:rsidR="00432782" w:rsidRPr="009120FA">
        <w:t>/</w:t>
      </w:r>
      <w:r w:rsidR="00432782">
        <w:t>12</w:t>
      </w:r>
      <w:r w:rsidR="00432782" w:rsidRPr="009120FA">
        <w:t>, от</w:t>
      </w:r>
      <w:r w:rsidR="00432782">
        <w:t>06</w:t>
      </w:r>
      <w:r w:rsidR="00432782" w:rsidRPr="009120FA">
        <w:t>.0</w:t>
      </w:r>
      <w:r w:rsidR="00432782">
        <w:t>2</w:t>
      </w:r>
      <w:r w:rsidR="00432782" w:rsidRPr="009120FA">
        <w:t>.201</w:t>
      </w:r>
      <w:r w:rsidR="00432782">
        <w:t>9</w:t>
      </w:r>
      <w:r w:rsidR="00432782" w:rsidRPr="009120FA">
        <w:t xml:space="preserve"> №</w:t>
      </w:r>
      <w:r w:rsidR="00432782">
        <w:t>56</w:t>
      </w:r>
      <w:r w:rsidR="00432782" w:rsidRPr="009120FA">
        <w:t>/</w:t>
      </w:r>
      <w:r w:rsidR="00432782">
        <w:t>2</w:t>
      </w:r>
      <w:r w:rsidR="00432782" w:rsidRPr="009120FA">
        <w:t>, от</w:t>
      </w:r>
      <w:r w:rsidR="00432782">
        <w:t> 22</w:t>
      </w:r>
      <w:r w:rsidR="00432782" w:rsidRPr="009120FA">
        <w:t>.</w:t>
      </w:r>
      <w:r w:rsidR="00432782">
        <w:t>03</w:t>
      </w:r>
      <w:r w:rsidR="00432782" w:rsidRPr="009120FA">
        <w:t>.201</w:t>
      </w:r>
      <w:r w:rsidR="00432782">
        <w:t>9</w:t>
      </w:r>
      <w:r w:rsidR="00432782" w:rsidRPr="009120FA">
        <w:t xml:space="preserve"> №</w:t>
      </w:r>
      <w:r w:rsidR="00432782">
        <w:t>174</w:t>
      </w:r>
      <w:r w:rsidR="00432782" w:rsidRPr="009120FA">
        <w:t>/</w:t>
      </w:r>
      <w:r w:rsidR="00432782">
        <w:t>3</w:t>
      </w:r>
      <w:r w:rsidR="00432782" w:rsidRPr="009120FA">
        <w:t xml:space="preserve">, </w:t>
      </w:r>
      <w:r w:rsidR="00432782">
        <w:t xml:space="preserve">                    </w:t>
      </w:r>
      <w:r w:rsidR="00432782" w:rsidRPr="009120FA">
        <w:t xml:space="preserve">от </w:t>
      </w:r>
      <w:r w:rsidR="00432782">
        <w:t>30</w:t>
      </w:r>
      <w:r w:rsidR="00432782" w:rsidRPr="009120FA">
        <w:t>.0</w:t>
      </w:r>
      <w:r w:rsidR="00432782">
        <w:t>5</w:t>
      </w:r>
      <w:r w:rsidR="00432782" w:rsidRPr="009120FA">
        <w:t>.2019</w:t>
      </w:r>
      <w:r w:rsidR="00432782">
        <w:t xml:space="preserve"> №372</w:t>
      </w:r>
      <w:r w:rsidR="00432782" w:rsidRPr="009120FA">
        <w:t>/</w:t>
      </w:r>
      <w:r w:rsidR="00432782">
        <w:t>5</w:t>
      </w:r>
      <w:r w:rsidR="00432782" w:rsidRPr="009120FA">
        <w:t xml:space="preserve">, от </w:t>
      </w:r>
      <w:r w:rsidR="00432782">
        <w:t>18</w:t>
      </w:r>
      <w:r w:rsidR="00432782" w:rsidRPr="009120FA">
        <w:t>.0</w:t>
      </w:r>
      <w:r w:rsidR="00432782">
        <w:t>6</w:t>
      </w:r>
      <w:r w:rsidR="00432782" w:rsidRPr="009120FA">
        <w:t>.2019 №</w:t>
      </w:r>
      <w:r w:rsidR="00432782">
        <w:t>421</w:t>
      </w:r>
      <w:r w:rsidR="00432782" w:rsidRPr="009120FA">
        <w:t>/</w:t>
      </w:r>
      <w:r w:rsidR="00432782">
        <w:t>6</w:t>
      </w:r>
      <w:r w:rsidR="00432782" w:rsidRPr="009120FA">
        <w:t>, от2</w:t>
      </w:r>
      <w:r w:rsidR="00432782">
        <w:t>6</w:t>
      </w:r>
      <w:r w:rsidR="00432782" w:rsidRPr="009120FA">
        <w:t>.0</w:t>
      </w:r>
      <w:r w:rsidR="00432782">
        <w:t>7.2019 №516</w:t>
      </w:r>
      <w:r w:rsidR="00432782" w:rsidRPr="009120FA">
        <w:t>/</w:t>
      </w:r>
      <w:r w:rsidR="00432782">
        <w:t>7, от </w:t>
      </w:r>
      <w:r w:rsidR="00432782" w:rsidRPr="00C60CD7">
        <w:t>16.09.2019</w:t>
      </w:r>
      <w:r w:rsidR="00432782">
        <w:t xml:space="preserve"> </w:t>
      </w:r>
      <w:r w:rsidR="00432782" w:rsidRPr="00C60CD7">
        <w:t>№63</w:t>
      </w:r>
      <w:r w:rsidR="00432782">
        <w:t>9</w:t>
      </w:r>
      <w:r w:rsidR="00432782" w:rsidRPr="00C60CD7">
        <w:t>/9</w:t>
      </w:r>
      <w:r w:rsidR="00432782">
        <w:t xml:space="preserve">,       от 05.11.2019 №813/11).  </w:t>
      </w:r>
    </w:p>
    <w:p w:rsidR="007D3C3E" w:rsidRPr="00A516C5" w:rsidRDefault="007D3C3E" w:rsidP="007D3C3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4</w:t>
      </w:r>
      <w:r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Pr="00A516C5">
        <w:rPr>
          <w:color w:val="000000" w:themeColor="text1"/>
        </w:rPr>
        <w:t>.</w:t>
      </w:r>
    </w:p>
    <w:p w:rsidR="00626788" w:rsidRDefault="007D3C3E" w:rsidP="007D3C3E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5</w:t>
      </w:r>
      <w:r w:rsidRPr="00060BDE">
        <w:rPr>
          <w:rFonts w:cs="Times New Roman"/>
        </w:rPr>
        <w:t xml:space="preserve">. Настоящее постановление вступает в силу с </w:t>
      </w:r>
      <w:r>
        <w:rPr>
          <w:rFonts w:cs="Times New Roman"/>
        </w:rPr>
        <w:t>0</w:t>
      </w:r>
      <w:r w:rsidRPr="00060BDE">
        <w:rPr>
          <w:rFonts w:cs="Times New Roman"/>
        </w:rPr>
        <w:t>1</w:t>
      </w:r>
      <w:r>
        <w:rPr>
          <w:rFonts w:cs="Times New Roman"/>
        </w:rPr>
        <w:t>.01.2020</w:t>
      </w:r>
      <w:r w:rsidRPr="00060BDE">
        <w:rPr>
          <w:rFonts w:cs="Times New Roman"/>
        </w:rPr>
        <w:t xml:space="preserve"> и применяется к правоотношениям, возникающим в связи </w:t>
      </w:r>
      <w:r w:rsidRPr="008500AC">
        <w:t xml:space="preserve">с составлением, рассмотрением, утверждением и исполнением бюджета городского округа Электросталь Московской области, начиная с </w:t>
      </w:r>
      <w:r w:rsidR="00626788" w:rsidRPr="008500AC">
        <w:lastRenderedPageBreak/>
        <w:t>бюджета городского округа Электросталь Московской области на 20</w:t>
      </w:r>
      <w:r w:rsidR="00626788">
        <w:t>20</w:t>
      </w:r>
      <w:r w:rsidR="00626788" w:rsidRPr="008500AC">
        <w:t> год и на плановый период 20</w:t>
      </w:r>
      <w:r w:rsidR="00626788">
        <w:t>21</w:t>
      </w:r>
      <w:r w:rsidR="00626788" w:rsidRPr="008500AC">
        <w:t xml:space="preserve"> и 202</w:t>
      </w:r>
      <w:r w:rsidR="00626788">
        <w:t>2</w:t>
      </w:r>
      <w:r w:rsidR="00626788" w:rsidRPr="008500AC">
        <w:t xml:space="preserve"> годов</w:t>
      </w:r>
      <w:r w:rsidR="00626788">
        <w:t>.</w:t>
      </w:r>
    </w:p>
    <w:p w:rsidR="00402413" w:rsidRPr="00CA0054" w:rsidRDefault="00402413" w:rsidP="00402413">
      <w:pPr>
        <w:ind w:firstLine="624"/>
        <w:jc w:val="both"/>
        <w:rPr>
          <w:rFonts w:cs="Times New Roman"/>
        </w:rPr>
      </w:pPr>
      <w:r w:rsidRPr="00402413">
        <w:rPr>
          <w:rFonts w:cs="Times New Roman"/>
        </w:rPr>
        <w:t>6. </w:t>
      </w:r>
      <w:r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402413">
        <w:t>7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   </w:t>
      </w:r>
      <w:r w:rsidR="00DB24C1" w:rsidRPr="002A7802">
        <w:rPr>
          <w:sz w:val="23"/>
          <w:szCs w:val="23"/>
        </w:rPr>
        <w:t>Кокунову</w:t>
      </w:r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Pr="008A100B" w:rsidRDefault="00DB24C1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    В.Я. Пекарев</w:t>
      </w:r>
    </w:p>
    <w:p w:rsidR="00DB24C1" w:rsidRPr="008A100B" w:rsidRDefault="00DB24C1" w:rsidP="00DB24C1">
      <w:pPr>
        <w:ind w:left="-142"/>
        <w:jc w:val="both"/>
      </w:pPr>
    </w:p>
    <w:p w:rsidR="00DB24C1" w:rsidRPr="0065591C" w:rsidRDefault="00DB24C1" w:rsidP="00DB24C1">
      <w:pPr>
        <w:ind w:left="-142"/>
        <w:jc w:val="both"/>
      </w:pPr>
    </w:p>
    <w:p w:rsidR="00DB24C1" w:rsidRDefault="00DB24C1" w:rsidP="00DB24C1">
      <w:pPr>
        <w:jc w:val="both"/>
      </w:pPr>
      <w:r w:rsidRPr="0065591C">
        <w:t xml:space="preserve">Рассылка: </w:t>
      </w:r>
      <w:r>
        <w:t xml:space="preserve">Федорову А.В.,   Волковой И.Ю.,   Кокуновой </w:t>
      </w:r>
      <w:r w:rsidR="00B26F30">
        <w:t xml:space="preserve">М.Ю.,  Бузурной И.В.,   </w:t>
      </w:r>
      <w:r w:rsidR="00264107">
        <w:t xml:space="preserve">      </w:t>
      </w:r>
      <w:r w:rsidR="00B26F30">
        <w:t>Ефанову</w:t>
      </w:r>
      <w:r w:rsidR="00264107">
        <w:t xml:space="preserve"> </w:t>
      </w:r>
      <w:r>
        <w:t>Ф.А., Митькино</w:t>
      </w:r>
      <w:r w:rsidRPr="008D5194">
        <w:t>й</w:t>
      </w:r>
      <w:r>
        <w:t xml:space="preserve"> Е.И. -</w:t>
      </w:r>
      <w:r w:rsidRPr="008D5194">
        <w:t xml:space="preserve"> 2, </w:t>
      </w:r>
      <w:r>
        <w:t>Бобкову С.А., Захарчуку П.Г.</w:t>
      </w:r>
      <w:r w:rsidRPr="008D5194">
        <w:t xml:space="preserve">, </w:t>
      </w:r>
      <w:r w:rsidR="00607A6A">
        <w:t xml:space="preserve">Сиротинину А.А., </w:t>
      </w:r>
      <w:r w:rsidR="00B26F30">
        <w:t xml:space="preserve">Елихину О.Н., </w:t>
      </w:r>
      <w:r w:rsidR="00607A6A">
        <w:t xml:space="preserve">в </w:t>
      </w:r>
      <w:r>
        <w:t>прокуратур</w:t>
      </w:r>
      <w:r w:rsidR="00607A6A">
        <w:t>у</w:t>
      </w:r>
      <w:r>
        <w:t xml:space="preserve">, </w:t>
      </w:r>
      <w:r w:rsidRPr="008D5194">
        <w:t xml:space="preserve">ООО «ЭЛКОД», в регистр муниципальных </w:t>
      </w:r>
      <w:r w:rsidR="00607A6A">
        <w:t xml:space="preserve">нормативных </w:t>
      </w:r>
      <w:r w:rsidRPr="008D5194">
        <w:t>правовых актов, в дело.</w:t>
      </w: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DB24C1" w:rsidRDefault="00DB24C1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626788" w:rsidRDefault="00626788" w:rsidP="00AA0E7D">
      <w:pPr>
        <w:tabs>
          <w:tab w:val="left" w:pos="851"/>
        </w:tabs>
        <w:ind w:left="5103"/>
        <w:rPr>
          <w:rFonts w:cs="Times New Roman"/>
        </w:rPr>
      </w:pP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lastRenderedPageBreak/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________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83CC3" w:rsidRPr="00163DE6" w:rsidTr="008F4E49">
        <w:tc>
          <w:tcPr>
            <w:tcW w:w="2060" w:type="dxa"/>
          </w:tcPr>
          <w:p w:rsidR="00E83CC3" w:rsidRPr="00163DE6" w:rsidRDefault="00E83CC3" w:rsidP="00E83CC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4 243 787,87</w:t>
            </w:r>
          </w:p>
        </w:tc>
        <w:tc>
          <w:tcPr>
            <w:tcW w:w="1209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963 639,40</w:t>
            </w:r>
          </w:p>
        </w:tc>
        <w:tc>
          <w:tcPr>
            <w:tcW w:w="1201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813 718,92</w:t>
            </w:r>
          </w:p>
        </w:tc>
        <w:tc>
          <w:tcPr>
            <w:tcW w:w="1275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E83CC3" w:rsidRPr="00163DE6" w:rsidTr="008F4E49">
        <w:tc>
          <w:tcPr>
            <w:tcW w:w="2060" w:type="dxa"/>
          </w:tcPr>
          <w:p w:rsidR="00E83CC3" w:rsidRPr="00163DE6" w:rsidRDefault="00E83CC3" w:rsidP="00E83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10 197 124,18</w:t>
            </w:r>
          </w:p>
        </w:tc>
        <w:tc>
          <w:tcPr>
            <w:tcW w:w="1209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2 090 457,00</w:t>
            </w:r>
          </w:p>
        </w:tc>
        <w:tc>
          <w:tcPr>
            <w:tcW w:w="1201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2 022 920,00</w:t>
            </w:r>
          </w:p>
        </w:tc>
        <w:tc>
          <w:tcPr>
            <w:tcW w:w="1275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2 041 215,18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2 021 266,00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2 021 266,00</w:t>
            </w:r>
          </w:p>
        </w:tc>
      </w:tr>
      <w:tr w:rsidR="008D48CD" w:rsidRPr="00163DE6" w:rsidTr="008F4E49">
        <w:tc>
          <w:tcPr>
            <w:tcW w:w="2060" w:type="dxa"/>
          </w:tcPr>
          <w:p w:rsidR="008D48CD" w:rsidRPr="00163DE6" w:rsidRDefault="008D48CD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56 844,82</w:t>
            </w:r>
          </w:p>
        </w:tc>
        <w:tc>
          <w:tcPr>
            <w:tcW w:w="1209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56 844,82</w:t>
            </w:r>
          </w:p>
        </w:tc>
        <w:tc>
          <w:tcPr>
            <w:tcW w:w="1276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3CC3" w:rsidRPr="00163DE6" w:rsidTr="008F4E49">
        <w:tc>
          <w:tcPr>
            <w:tcW w:w="2060" w:type="dxa"/>
          </w:tcPr>
          <w:p w:rsidR="00E83CC3" w:rsidRPr="00163DE6" w:rsidRDefault="00E83CC3" w:rsidP="00E83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14 497 756,87</w:t>
            </w:r>
          </w:p>
        </w:tc>
        <w:tc>
          <w:tcPr>
            <w:tcW w:w="1209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3 054 096,40</w:t>
            </w:r>
          </w:p>
        </w:tc>
        <w:tc>
          <w:tcPr>
            <w:tcW w:w="1201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2 836 638,92</w:t>
            </w:r>
          </w:p>
        </w:tc>
        <w:tc>
          <w:tcPr>
            <w:tcW w:w="1275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2 920 853,55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2 843 084,00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2 843 084,00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1  специальную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 xml:space="preserve">. Особенно острой ситуация </w:t>
      </w:r>
      <w:r w:rsidRPr="005A0014">
        <w:rPr>
          <w:rFonts w:eastAsiaTheme="minorHAnsi" w:cs="Times New Roman"/>
          <w:lang w:eastAsia="en-US"/>
        </w:rPr>
        <w:lastRenderedPageBreak/>
        <w:t>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соответствующий потребностям населения. Несмотря на реализованные меры по развитию техносферы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814206" w:rsidRDefault="00814206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7D3C3E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>
        <w:rPr>
          <w:rFonts w:cs="Times New Roman"/>
        </w:rPr>
        <w:t>20</w:t>
      </w:r>
      <w:r w:rsidRPr="00E01186">
        <w:rPr>
          <w:rFonts w:cs="Times New Roman"/>
        </w:rPr>
        <w:t>-202</w:t>
      </w:r>
      <w:r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 утвержденной п</w:t>
      </w:r>
      <w:r w:rsidRPr="00884DFD">
        <w:rPr>
          <w:rFonts w:cs="Times New Roman"/>
        </w:rPr>
        <w:t>остановлением Правительства М</w:t>
      </w:r>
      <w:r>
        <w:rPr>
          <w:rFonts w:cs="Times New Roman"/>
        </w:rPr>
        <w:t>осковской области</w:t>
      </w:r>
      <w:r w:rsidRPr="00884DFD">
        <w:rPr>
          <w:rFonts w:cs="Times New Roman"/>
        </w:rPr>
        <w:t xml:space="preserve"> </w:t>
      </w:r>
      <w:r w:rsidR="00183F43">
        <w:rPr>
          <w:rFonts w:cs="Times New Roman"/>
        </w:rPr>
        <w:t xml:space="preserve">                   </w:t>
      </w:r>
      <w:r w:rsidRPr="00884DFD">
        <w:rPr>
          <w:rFonts w:cs="Times New Roman"/>
        </w:rPr>
        <w:t xml:space="preserve">от 25.10.2016 </w:t>
      </w:r>
      <w:r>
        <w:rPr>
          <w:rFonts w:cs="Times New Roman"/>
        </w:rPr>
        <w:t>№</w:t>
      </w:r>
      <w:r w:rsidRPr="00884DFD">
        <w:rPr>
          <w:rFonts w:cs="Times New Roman"/>
        </w:rPr>
        <w:t xml:space="preserve"> 784/39</w:t>
      </w:r>
      <w:r>
        <w:rPr>
          <w:rFonts w:cs="Times New Roman"/>
        </w:rPr>
        <w:t>.</w:t>
      </w:r>
    </w:p>
    <w:p w:rsidR="00814206" w:rsidRPr="00E01186" w:rsidRDefault="0081420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возможность обучения в условиях, соответствующих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подушевого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образовательных организациях безбарьерной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>, деятельности образовательных коворкинг-центров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</w:t>
      </w:r>
      <w:r w:rsidRPr="005677B5">
        <w:rPr>
          <w:rFonts w:eastAsiaTheme="minorHAnsi" w:cs="Times New Roman"/>
          <w:lang w:eastAsia="en-US"/>
        </w:rPr>
        <w:lastRenderedPageBreak/>
        <w:t>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внедрение нормативного подушевого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их краткое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lastRenderedPageBreak/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814206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D48CD" w:rsidRDefault="008D48CD" w:rsidP="00884DFD">
      <w:pPr>
        <w:tabs>
          <w:tab w:val="left" w:pos="851"/>
        </w:tabs>
        <w:jc w:val="center"/>
        <w:rPr>
          <w:rFonts w:cs="Times New Roman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 (проведение конкурсов профессионального мастерства, педагогического марафона,  проведение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сопровождения граждан, желающих принять и принявших детей-сирот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BA58F5" w:rsidRDefault="000B23EA" w:rsidP="00BA58F5">
      <w:pPr>
        <w:autoSpaceDE w:val="0"/>
        <w:autoSpaceDN w:val="0"/>
        <w:adjustRightInd w:val="0"/>
        <w:ind w:firstLine="709"/>
        <w:jc w:val="both"/>
        <w:rPr>
          <w:rFonts w:cs="Times New Roman"/>
          <w:b/>
        </w:rPr>
        <w:sectPr w:rsidR="000B23EA" w:rsidRPr="00BA58F5" w:rsidSect="00B26F30">
          <w:headerReference w:type="default" r:id="rId10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5054DC">
        <w:rPr>
          <w:rFonts w:eastAsiaTheme="minorHAnsi" w:cs="Times New Roman"/>
          <w:lang w:eastAsia="en-US"/>
        </w:rPr>
        <w:t>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472"/>
      </w:tblGrid>
      <w:tr w:rsidR="00520DCB" w:rsidRPr="00C6627E" w:rsidTr="00837A1E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472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837A1E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72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837A1E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72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837A1E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72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276" w:type="dxa"/>
          </w:tcPr>
          <w:p w:rsidR="00AD1659" w:rsidRPr="00C6627E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D1659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 P2.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837A1E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:rsidTr="00837A1E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72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837A1E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837A1E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95,3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2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51A5C" w:rsidRPr="00C6627E" w:rsidTr="00251A5C">
        <w:tc>
          <w:tcPr>
            <w:tcW w:w="567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51A5C" w:rsidRPr="00251A5C" w:rsidRDefault="00251A5C" w:rsidP="00251A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деятельности, человек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0C88">
              <w:rPr>
                <w:rFonts w:ascii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1221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837A1E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837A1E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79503E" w:rsidRDefault="0079503E" w:rsidP="00251A5C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1221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2" w:type="dxa"/>
          </w:tcPr>
          <w:p w:rsidR="0079503E" w:rsidRPr="004107D0" w:rsidRDefault="0079503E" w:rsidP="0079503E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79503E" w:rsidRDefault="0079503E" w:rsidP="00A35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21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472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72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837A1E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2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119" w:type="dxa"/>
          </w:tcPr>
          <w:p w:rsidR="0079503E" w:rsidRPr="007037E2" w:rsidRDefault="007037E2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276" w:type="dxa"/>
          </w:tcPr>
          <w:p w:rsidR="0079503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22E9">
              <w:rPr>
                <w:rFonts w:cs="Times New Roman"/>
                <w:sz w:val="20"/>
                <w:szCs w:val="20"/>
              </w:rPr>
              <w:t>показатель отраслево</w:t>
            </w:r>
            <w:r>
              <w:rPr>
                <w:rFonts w:cs="Times New Roman"/>
                <w:sz w:val="20"/>
                <w:szCs w:val="20"/>
              </w:rPr>
              <w:t>й</w:t>
            </w:r>
          </w:p>
          <w:p w:rsidR="0079503E" w:rsidRDefault="0079503E" w:rsidP="0079503E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21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2" w:type="dxa"/>
          </w:tcPr>
          <w:p w:rsidR="0079503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2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Основное мероприятие 5.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837A1E">
        <w:tc>
          <w:tcPr>
            <w:tcW w:w="567" w:type="dxa"/>
          </w:tcPr>
          <w:p w:rsidR="003B6C82" w:rsidRPr="00C6627E" w:rsidRDefault="00556A5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3B6C82" w:rsidRPr="00DE407C" w:rsidRDefault="003B6C82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</w:t>
            </w:r>
            <w:r w:rsidRPr="00F52CA8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837A1E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3B6C82" w:rsidRPr="00F93CA5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соглашению с ФОИВ по ФП "Успех каждого ребенка"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Тыс.чел.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6627E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221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3,000</w:t>
            </w:r>
          </w:p>
        </w:tc>
        <w:tc>
          <w:tcPr>
            <w:tcW w:w="1472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837A1E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"Кванториум"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:rsidR="00DD34C4" w:rsidRPr="00C6627E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837A1E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DD34C4" w:rsidP="00DD34C4">
            <w:pPr>
              <w:jc w:val="center"/>
              <w:rPr>
                <w:sz w:val="20"/>
                <w:szCs w:val="20"/>
              </w:rPr>
            </w:pPr>
            <w:r w:rsidRPr="00DD34C4">
              <w:rPr>
                <w:sz w:val="20"/>
                <w:szCs w:val="20"/>
              </w:rPr>
              <w:t>показатель к указу Президента Российской Федерации,</w:t>
            </w:r>
          </w:p>
          <w:p w:rsidR="00DD34C4" w:rsidRPr="00DD34C4" w:rsidRDefault="00DD34C4" w:rsidP="00DD34C4">
            <w:pPr>
              <w:jc w:val="center"/>
              <w:rPr>
                <w:sz w:val="20"/>
                <w:szCs w:val="20"/>
              </w:rPr>
            </w:pPr>
            <w:r w:rsidRPr="00DD34C4">
              <w:rPr>
                <w:sz w:val="20"/>
                <w:szCs w:val="20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472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EA77AA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72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837A1E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464C70" w:rsidRPr="004107D0" w:rsidRDefault="00464C70" w:rsidP="00464C70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9D6FFC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З(мун)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З(о)– среднемесячная заработная плата в  сфере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ЗОО(мун)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З(д) - среднемесячный доход от трудовой деятельности по  Московской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Кфгос / Кобщ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Кфгос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AE6F3D" w:rsidRPr="00A02FA9" w:rsidTr="002B10C4">
        <w:trPr>
          <w:jc w:val="center"/>
        </w:trPr>
        <w:tc>
          <w:tcPr>
            <w:tcW w:w="631" w:type="dxa"/>
          </w:tcPr>
          <w:p w:rsidR="00AE6F3D" w:rsidRPr="00C6627E" w:rsidRDefault="00AE6F3D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827" w:type="dxa"/>
          </w:tcPr>
          <w:p w:rsidR="00AE6F3D" w:rsidRPr="00A355CE" w:rsidRDefault="00AE6F3D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</w:t>
            </w:r>
            <w:r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099" w:type="dxa"/>
          </w:tcPr>
          <w:p w:rsidR="00AE6F3D" w:rsidRPr="00A02FA9" w:rsidRDefault="00AE6F3D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6421" w:type="dxa"/>
          </w:tcPr>
          <w:p w:rsidR="00AE6F3D" w:rsidRPr="00AE6F3D" w:rsidRDefault="00AE6F3D" w:rsidP="00AE6F3D">
            <w:pPr>
              <w:widowControl w:val="0"/>
              <w:contextualSpacing/>
              <w:rPr>
                <w:sz w:val="20"/>
                <w:szCs w:val="20"/>
              </w:rPr>
            </w:pPr>
            <w:r w:rsidRPr="00AE6F3D">
              <w:rPr>
                <w:sz w:val="20"/>
                <w:szCs w:val="20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</w:t>
            </w:r>
            <w:r>
              <w:rPr>
                <w:sz w:val="20"/>
                <w:szCs w:val="20"/>
              </w:rPr>
              <w:t>",</w:t>
            </w:r>
            <w:r w:rsidRPr="00AE6F3D">
              <w:rPr>
                <w:sz w:val="20"/>
                <w:szCs w:val="20"/>
              </w:rPr>
              <w:t xml:space="preserve"> накопительным итогом</w:t>
            </w:r>
          </w:p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F65FA" w:rsidRPr="005F65FA" w:rsidRDefault="005F65FA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79503E" w:rsidRDefault="00A00A9F" w:rsidP="00AE6F3D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00A9F" w:rsidRPr="0079503E" w:rsidRDefault="00A00A9F" w:rsidP="00A00A9F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099" w:type="dxa"/>
          </w:tcPr>
          <w:p w:rsidR="00A00A9F" w:rsidRPr="00A02FA9" w:rsidRDefault="005A554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 xml:space="preserve">Р = Доо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/ Доо х 100, где: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>Р – значение показателя;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 xml:space="preserve">Доо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:rsidR="00A00A9F" w:rsidRPr="00A02FA9" w:rsidRDefault="005A5549" w:rsidP="005A554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2733" w:type="dxa"/>
          </w:tcPr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  <w:p w:rsidR="00A00A9F" w:rsidRPr="00A02FA9" w:rsidRDefault="00A00A9F" w:rsidP="00A00A9F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ДВ= В / ВТГ х 100, где: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ДВ – доля высокобалльников (выпускников текущего года, набравших 220 баллов и более);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В- высокобалльники;</w:t>
            </w:r>
          </w:p>
          <w:p w:rsidR="005A5549" w:rsidRPr="00251672" w:rsidRDefault="005A5549" w:rsidP="005A554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ВТГ – выпускники текущего года</w:t>
            </w:r>
          </w:p>
        </w:tc>
        <w:tc>
          <w:tcPr>
            <w:tcW w:w="2733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51672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Дтм = Чтм / Чо x 100, где: Дтм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Чтм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Чо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З(мун)/З(у)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827" w:type="dxa"/>
          </w:tcPr>
          <w:p w:rsidR="002122DA" w:rsidRPr="007037E2" w:rsidRDefault="002122DA" w:rsidP="00212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B512C6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 = (1д+2д+3д+4д) / Чн х 100%,</w:t>
            </w:r>
            <w:r w:rsidR="00B512C6">
              <w:rPr>
                <w:rFonts w:cs="Times New Roman"/>
                <w:sz w:val="20"/>
                <w:szCs w:val="20"/>
              </w:rPr>
              <w:t xml:space="preserve"> </w:t>
            </w: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 – доля детей в возрасте от 5 до 18 лет, посещающих объединения образовательных организаций, участвующих в проекте «Наука в Подмосковье»;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1д – численность детей, посещающих объединения в организациях дополнительного образования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2д – численность детей, посещающих объединения в общеобразовательных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3д - численность детей, посещающих объединения в дошкольных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4д – численность детей, посещающих объединения на базе детских технопарков, участвующих в проекте «Наука в Подмосковье»;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Чн – численность детей в возрасте от 5 до 17 лет (включительно) по данным Росстата</w:t>
            </w:r>
          </w:p>
        </w:tc>
        <w:tc>
          <w:tcPr>
            <w:tcW w:w="2733" w:type="dxa"/>
          </w:tcPr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 xml:space="preserve">Школьный портал </w:t>
            </w: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(с учетом доработанного функционала),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>Данные Росстата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С= Чсерт/Чвсего,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Чсерт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02002A" w:rsidRPr="00DE407C" w:rsidRDefault="0002002A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</w:t>
            </w:r>
            <w:r w:rsidRPr="00F52CA8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099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5E8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5E8">
              <w:rPr>
                <w:color w:val="000000"/>
                <w:sz w:val="20"/>
                <w:szCs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525E8" w:rsidRDefault="0002002A" w:rsidP="0002002A">
            <w:pPr>
              <w:rPr>
                <w:sz w:val="20"/>
                <w:szCs w:val="20"/>
                <w:highlight w:val="yellow"/>
              </w:rPr>
            </w:pPr>
            <w:r w:rsidRPr="004525E8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F93CA5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A02FA9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Тыс.чел.</w:t>
            </w:r>
          </w:p>
        </w:tc>
        <w:tc>
          <w:tcPr>
            <w:tcW w:w="6421" w:type="dxa"/>
          </w:tcPr>
          <w:p w:rsidR="004525E8" w:rsidRPr="00A02FA9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«Кванториум»),</w:t>
            </w:r>
          </w:p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Ki -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W w:w="2733" w:type="dxa"/>
          </w:tcPr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4525E8" w:rsidRPr="00C76DF4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"Кванториум"</w:t>
            </w:r>
          </w:p>
        </w:tc>
        <w:tc>
          <w:tcPr>
            <w:tcW w:w="1099" w:type="dxa"/>
          </w:tcPr>
          <w:p w:rsidR="004525E8" w:rsidRPr="00A02FA9" w:rsidRDefault="00750F52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  <w:r w:rsidR="004525E8"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750F52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Количество созданных детских технопарков «Кванториум»</w:t>
            </w:r>
          </w:p>
        </w:tc>
        <w:tc>
          <w:tcPr>
            <w:tcW w:w="2733" w:type="dxa"/>
          </w:tcPr>
          <w:p w:rsidR="004525E8" w:rsidRPr="00750F52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Ведомственные данные</w:t>
            </w:r>
          </w:p>
        </w:tc>
      </w:tr>
      <w:tr w:rsidR="00F742C1" w:rsidRPr="00A02FA9" w:rsidTr="002B10C4">
        <w:trPr>
          <w:jc w:val="center"/>
        </w:trPr>
        <w:tc>
          <w:tcPr>
            <w:tcW w:w="631" w:type="dxa"/>
          </w:tcPr>
          <w:p w:rsidR="00F742C1" w:rsidRPr="00C6627E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F742C1" w:rsidRPr="00DD34C4" w:rsidRDefault="00F742C1" w:rsidP="00F742C1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F742C1" w:rsidRPr="00A02FA9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 =   ЧДОП(5-18)   х 100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Ч(5-18) 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:rsidR="00F742C1" w:rsidRPr="00A02FA9" w:rsidRDefault="00F742C1" w:rsidP="00F742C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Ч(5-18) – общая численность детей в возрасте от 5 до 18 лет</w:t>
            </w:r>
          </w:p>
        </w:tc>
        <w:tc>
          <w:tcPr>
            <w:tcW w:w="2733" w:type="dxa"/>
          </w:tcPr>
          <w:p w:rsidR="00F742C1" w:rsidRPr="00F742C1" w:rsidRDefault="00F742C1" w:rsidP="002B10C4">
            <w:pPr>
              <w:rPr>
                <w:rFonts w:cs="Times New Roman"/>
                <w:sz w:val="20"/>
                <w:szCs w:val="20"/>
              </w:rPr>
            </w:pPr>
            <w:r w:rsidRPr="00F742C1">
              <w:rPr>
                <w:sz w:val="20"/>
                <w:szCs w:val="20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</w:tr>
      <w:tr w:rsidR="002B10C4" w:rsidRPr="00A02FA9" w:rsidTr="002B10C4">
        <w:trPr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2B10C4" w:rsidRPr="00A02FA9" w:rsidRDefault="002B10C4" w:rsidP="00F742C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  <w:tr w:rsidR="002B10C4" w:rsidRPr="00A02FA9" w:rsidTr="00B512C6">
        <w:trPr>
          <w:trHeight w:val="858"/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2B10C4" w:rsidRPr="00464C70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2B10C4" w:rsidRPr="00DD34C4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2B10C4" w:rsidRPr="00A02FA9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B512C6" w:rsidRPr="00B512C6" w:rsidRDefault="00B512C6" w:rsidP="00B512C6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(Ппр/ Поч) x 100, где:</w:t>
            </w:r>
          </w:p>
          <w:p w:rsidR="00B512C6" w:rsidRPr="00B512C6" w:rsidRDefault="00B512C6" w:rsidP="00B512C6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Ппр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2B10C4" w:rsidRPr="00B512C6" w:rsidRDefault="00B512C6" w:rsidP="00B512C6">
            <w:pPr>
              <w:rPr>
                <w:rFonts w:cs="Times New Roman"/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Поч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5 594 666,50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1 176 150,10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1 105 965,90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1 825 286,50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409 634,10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3 769 380,00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766 516,00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5 564 436,50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1 154 284,10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1 103 874,90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1 821 311,50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405 659,10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3 743 125,00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19 775,00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19 775,00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3 975,00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3 975,00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15 800,00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701"/>
      </w:tblGrid>
      <w:tr w:rsidR="009A6844" w:rsidRPr="00FE0B2D" w:rsidTr="00F40AA8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F40AA8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F40AA8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F5620" w:rsidRPr="00FE0B2D" w:rsidTr="00003A87">
        <w:tc>
          <w:tcPr>
            <w:tcW w:w="567" w:type="dxa"/>
            <w:vMerge w:val="restart"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F5620" w:rsidRPr="00160D77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3F5620" w:rsidRPr="00FE0B2D" w:rsidRDefault="00D7064F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3F5620" w:rsidRPr="00FE0B2D" w:rsidRDefault="003F5620" w:rsidP="007D74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 w:val="restart"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850" w:type="dxa"/>
            <w:vMerge w:val="restart"/>
          </w:tcPr>
          <w:p w:rsidR="003F5620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003A87">
        <w:tc>
          <w:tcPr>
            <w:tcW w:w="567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5427BB" w:rsidRPr="001D37F6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1 094 634,82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5 566 296,50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1 154 656,10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275" w:type="dxa"/>
            <w:vMerge w:val="restart"/>
          </w:tcPr>
          <w:p w:rsidR="005427BB" w:rsidRPr="00FE0B2D" w:rsidRDefault="008E2782" w:rsidP="008E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427BB" w:rsidRPr="00FE0B2D" w:rsidRDefault="005427BB" w:rsidP="007D74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003A87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370 287,82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1 819 581,50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405 313,10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003A87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724 347,00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3 746 715,00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686 143,70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3 574 243,50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275" w:type="dxa"/>
            <w:vMerge w:val="restart"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115 633,50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275" w:type="dxa"/>
            <w:vMerge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663 017,00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3 458 610,00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275" w:type="dxa"/>
            <w:vMerge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275" w:type="dxa"/>
            <w:vMerge w:val="restart"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7AA" w:rsidRPr="00FE0B2D" w:rsidTr="00646159">
        <w:tc>
          <w:tcPr>
            <w:tcW w:w="567" w:type="dxa"/>
            <w:vMerge w:val="restart"/>
          </w:tcPr>
          <w:p w:rsidR="00EA77AA" w:rsidRPr="00FE0B2D" w:rsidRDefault="00EA77AA" w:rsidP="00EA7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EA77AA" w:rsidRDefault="00EA77AA" w:rsidP="00EA77AA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A77AA" w:rsidRPr="00EA77AA" w:rsidRDefault="00EA77AA" w:rsidP="00EA77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58 829,00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278 835,00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275" w:type="dxa"/>
            <w:vMerge w:val="restart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EA77AA" w:rsidRPr="00FE0B2D" w:rsidTr="00646159">
        <w:tc>
          <w:tcPr>
            <w:tcW w:w="567" w:type="dxa"/>
            <w:vMerge/>
          </w:tcPr>
          <w:p w:rsidR="00EA77AA" w:rsidRPr="00FE0B2D" w:rsidRDefault="00EA77AA" w:rsidP="00EA77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7AA" w:rsidRDefault="00EA77AA" w:rsidP="00EA77AA"/>
        </w:tc>
        <w:tc>
          <w:tcPr>
            <w:tcW w:w="1134" w:type="dxa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77AA" w:rsidRPr="00FE0B2D" w:rsidTr="00646159">
        <w:tc>
          <w:tcPr>
            <w:tcW w:w="567" w:type="dxa"/>
            <w:vMerge/>
          </w:tcPr>
          <w:p w:rsidR="00EA77AA" w:rsidRPr="00FE0B2D" w:rsidRDefault="00EA77AA" w:rsidP="00EA77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7AA" w:rsidRDefault="00EA77AA" w:rsidP="00EA77AA"/>
        </w:tc>
        <w:tc>
          <w:tcPr>
            <w:tcW w:w="1134" w:type="dxa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58 829,00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278 835,00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27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51C1" w:rsidRPr="00FE0B2D" w:rsidTr="00003A87">
        <w:tc>
          <w:tcPr>
            <w:tcW w:w="567" w:type="dxa"/>
            <w:vMerge w:val="restart"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051C1" w:rsidRPr="00FE0B2D" w:rsidRDefault="00E051C1" w:rsidP="00E051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51C1" w:rsidRPr="00E051C1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1C1">
              <w:rPr>
                <w:sz w:val="16"/>
                <w:szCs w:val="16"/>
              </w:rPr>
              <w:t>278 526,30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1 366 618,00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306 200,40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261 094,00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1275" w:type="dxa"/>
            <w:vMerge w:val="restart"/>
          </w:tcPr>
          <w:p w:rsidR="00E051C1" w:rsidRPr="00FE0B2D" w:rsidRDefault="00E051C1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051C1" w:rsidRPr="00E051C1" w:rsidRDefault="00E051C1" w:rsidP="00E051C1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Финансовое обеспечение</w:t>
            </w:r>
          </w:p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выполнения муниципального задания, оказания муниципальных услуг</w:t>
            </w:r>
          </w:p>
        </w:tc>
      </w:tr>
      <w:tr w:rsidR="00E051C1" w:rsidRPr="00FE0B2D" w:rsidTr="00003A87">
        <w:tc>
          <w:tcPr>
            <w:tcW w:w="567" w:type="dxa"/>
            <w:vMerge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1C1" w:rsidRPr="00FE0B2D" w:rsidRDefault="00E051C1" w:rsidP="00E051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278 526,30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1 366 618,00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306 200,40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261 094,00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1275" w:type="dxa"/>
            <w:vMerge/>
          </w:tcPr>
          <w:p w:rsidR="00E051C1" w:rsidRPr="00FE0B2D" w:rsidRDefault="00E051C1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51C1" w:rsidRPr="00FE0B2D" w:rsidTr="00003A87">
        <w:tc>
          <w:tcPr>
            <w:tcW w:w="567" w:type="dxa"/>
            <w:vMerge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1C1" w:rsidRPr="00FE0B2D" w:rsidRDefault="00E051C1" w:rsidP="00E051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051C1" w:rsidRPr="00FE0B2D" w:rsidRDefault="00E051C1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455332">
        <w:tc>
          <w:tcPr>
            <w:tcW w:w="567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455332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455332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455332">
        <w:tc>
          <w:tcPr>
            <w:tcW w:w="567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130ACB">
              <w:rPr>
                <w:rFonts w:cs="Times New Roman"/>
                <w:sz w:val="16"/>
                <w:szCs w:val="16"/>
              </w:rPr>
              <w:t>Предоставление целевой субсидии на проведение аварийного ремонта, закупку товаров, работ и услуг для нужд муниципальных дошкольных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68 634,82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336 830,00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75 886,00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1275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130ACB">
              <w:rPr>
                <w:rFonts w:cs="Times New Roman"/>
                <w:sz w:val="16"/>
                <w:szCs w:val="16"/>
              </w:rPr>
              <w:t>Предоставлены целевые субсидии на проведение аварийного ремонта, закупку товаров, работ и услуг для нужд муниципальных дошкольных образовательных организаций</w:t>
            </w:r>
          </w:p>
        </w:tc>
      </w:tr>
      <w:tr w:rsidR="00130ACB" w:rsidRPr="00FE0B2D" w:rsidTr="00455332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68 634,82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336 830,00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75 886,00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1275" w:type="dxa"/>
            <w:vMerge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1E18" w:rsidRPr="00FE0B2D" w:rsidTr="00455332">
        <w:tc>
          <w:tcPr>
            <w:tcW w:w="567" w:type="dxa"/>
            <w:vMerge/>
          </w:tcPr>
          <w:p w:rsidR="00881E18" w:rsidRPr="00FE0B2D" w:rsidRDefault="00881E18" w:rsidP="00881E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1E18" w:rsidRPr="00FE0B2D" w:rsidRDefault="00881E18" w:rsidP="00881E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1E18" w:rsidRPr="00FE0B2D" w:rsidRDefault="00881E18" w:rsidP="00881E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E18" w:rsidRPr="00FE0B2D" w:rsidRDefault="00881E18" w:rsidP="00881E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81E18" w:rsidRPr="00FE0B2D" w:rsidRDefault="00881E18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1E18" w:rsidRPr="00FE0B2D" w:rsidRDefault="00881E18" w:rsidP="00881E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 w:val="restart"/>
          </w:tcPr>
          <w:p w:rsidR="00A55D63" w:rsidRPr="00FE0B2D" w:rsidRDefault="002C27BD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A55D6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A55D63" w:rsidRPr="00A55D63" w:rsidRDefault="00A55D63" w:rsidP="00A55D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275" w:type="dxa"/>
            <w:vMerge w:val="restart"/>
          </w:tcPr>
          <w:p w:rsidR="00A55D63" w:rsidRPr="00FE0B2D" w:rsidRDefault="008E2782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55D63" w:rsidRPr="00FE0B2D" w:rsidRDefault="00A55D63" w:rsidP="007D74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275" w:type="dxa"/>
            <w:vMerge/>
          </w:tcPr>
          <w:p w:rsidR="00A55D63" w:rsidRPr="00FE0B2D" w:rsidRDefault="00A55D63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275" w:type="dxa"/>
            <w:vMerge/>
          </w:tcPr>
          <w:p w:rsidR="00A55D63" w:rsidRPr="00FE0B2D" w:rsidRDefault="00A55D63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 w:val="restart"/>
          </w:tcPr>
          <w:p w:rsidR="00A55D63" w:rsidRPr="00FE0B2D" w:rsidRDefault="002C27BD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A55D63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275" w:type="dxa"/>
            <w:vMerge w:val="restart"/>
          </w:tcPr>
          <w:p w:rsidR="00A55D63" w:rsidRPr="00FE0B2D" w:rsidRDefault="00A55D63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55D63" w:rsidRPr="00FE0B2D" w:rsidRDefault="00A55D63" w:rsidP="002C27B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27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27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66335" w:rsidRPr="00FE0B2D" w:rsidTr="00003A87">
        <w:tc>
          <w:tcPr>
            <w:tcW w:w="567" w:type="dxa"/>
            <w:vMerge w:val="restart"/>
          </w:tcPr>
          <w:p w:rsidR="00566335" w:rsidRPr="00FE0B2D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66335" w:rsidRPr="00566335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5 594 666,50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1 176 150,10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5 594 666,50</w:t>
            </w:r>
          </w:p>
        </w:tc>
        <w:tc>
          <w:tcPr>
            <w:tcW w:w="2976" w:type="dxa"/>
            <w:gridSpan w:val="2"/>
            <w:vMerge w:val="restart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35" w:rsidRPr="00FE0B2D" w:rsidTr="00003A87">
        <w:tc>
          <w:tcPr>
            <w:tcW w:w="567" w:type="dxa"/>
            <w:vMerge/>
          </w:tcPr>
          <w:p w:rsidR="00566335" w:rsidRPr="00FE0B2D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1 825 286,50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409 634,10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1 825 286,50</w:t>
            </w:r>
          </w:p>
        </w:tc>
        <w:tc>
          <w:tcPr>
            <w:tcW w:w="2976" w:type="dxa"/>
            <w:gridSpan w:val="2"/>
            <w:vMerge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35" w:rsidRPr="00FE0B2D" w:rsidTr="00003A87">
        <w:tc>
          <w:tcPr>
            <w:tcW w:w="567" w:type="dxa"/>
            <w:vMerge/>
          </w:tcPr>
          <w:p w:rsidR="00566335" w:rsidRPr="00FE0B2D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3 769 380,00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766 516,00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3 769 380,00</w:t>
            </w:r>
          </w:p>
        </w:tc>
        <w:tc>
          <w:tcPr>
            <w:tcW w:w="2976" w:type="dxa"/>
            <w:gridSpan w:val="2"/>
            <w:vMerge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7 612 629,38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1 592 734,40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1 503 297,90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1 507 737,88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1 504 429,60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1 504 429,60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1 212 022,38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279 233,40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231 093,90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6 398 918,58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1 313 501,00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1 272 204,00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1 272 113,58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1 270 550,00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1 270 550,00</w:t>
            </w:r>
          </w:p>
        </w:tc>
      </w:tr>
      <w:tr w:rsidR="00A25C44" w:rsidRPr="00025001" w:rsidTr="00D126C3">
        <w:trPr>
          <w:trHeight w:val="497"/>
        </w:trPr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7 526 353,38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1 532 422,40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1 496 806,90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1 501 246,88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1 497 938,60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1 497 938,60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1 201 203,38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268 414,40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231 093,90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6 323 461,58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1 264 008,00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1 265 713,00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1 265 622,58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1 264 059,00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1 264 059,00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7D7441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 w:rsidR="007D7441"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53 821,00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53 821,00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10 819,00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10 819,00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43 002,00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43 002,00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>Учителя должны освоить методику преподавания по межпредметным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701"/>
      </w:tblGrid>
      <w:tr w:rsidR="006B2BC1" w:rsidRPr="00FE0B2D" w:rsidTr="00616C7B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616C7B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616C7B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867E1" w:rsidRPr="00FE0B2D" w:rsidTr="00003A87">
        <w:tc>
          <w:tcPr>
            <w:tcW w:w="567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867E1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1 372 865,17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6 999 184,10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1 424 381,40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1 391 315,90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1 394 495,60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1 394 495,60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1 394 495,60</w:t>
            </w:r>
          </w:p>
        </w:tc>
        <w:tc>
          <w:tcPr>
            <w:tcW w:w="1275" w:type="dxa"/>
            <w:vMerge w:val="restart"/>
          </w:tcPr>
          <w:p w:rsidR="00A867E1" w:rsidRPr="00FE0B2D" w:rsidRDefault="00F0658E" w:rsidP="00F065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003A87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222 311,17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1 017 714,10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228 087,40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195 021,90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003A87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1 150 554,00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5 981 470,00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1 140 420,00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5 926 915,00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1275" w:type="dxa"/>
            <w:vMerge w:val="restart"/>
          </w:tcPr>
          <w:p w:rsidR="00A867E1" w:rsidRPr="00FE0B2D" w:rsidRDefault="00A867E1" w:rsidP="00D33E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1 140 420,00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5 926 915,00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10 134,00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54 555,00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1275" w:type="dxa"/>
            <w:vMerge w:val="restart"/>
          </w:tcPr>
          <w:p w:rsidR="00A867E1" w:rsidRPr="00FE0B2D" w:rsidRDefault="00A867E1" w:rsidP="003A0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10 134,00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54 555,00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C0" w:rsidRPr="00FE0B2D" w:rsidTr="00003A87">
        <w:tc>
          <w:tcPr>
            <w:tcW w:w="567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202 976,70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986 386,10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218 399,40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189 611,90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1275" w:type="dxa"/>
            <w:vMerge w:val="restart"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муниципального задания, оказания муниципальных услуг (выполнения работ)</w:t>
            </w:r>
          </w:p>
        </w:tc>
      </w:tr>
      <w:tr w:rsidR="008F5FC0" w:rsidRPr="00FE0B2D" w:rsidTr="00003A87">
        <w:tc>
          <w:tcPr>
            <w:tcW w:w="567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202 976,70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sz w:val="16"/>
                <w:szCs w:val="16"/>
              </w:rPr>
            </w:pPr>
            <w:r w:rsidRPr="008F5FC0">
              <w:rPr>
                <w:sz w:val="16"/>
                <w:szCs w:val="16"/>
              </w:rPr>
              <w:t>986 386,10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218 399,40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189 611,90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1275" w:type="dxa"/>
            <w:vMerge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C0" w:rsidRPr="00FE0B2D" w:rsidTr="00003A87">
        <w:tc>
          <w:tcPr>
            <w:tcW w:w="567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sz w:val="16"/>
                <w:szCs w:val="16"/>
              </w:rPr>
            </w:pPr>
            <w:r w:rsidRPr="008F5F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7E53EA">
        <w:tc>
          <w:tcPr>
            <w:tcW w:w="567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75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7E53EA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7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7E53EA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C0" w:rsidRPr="00FE0B2D" w:rsidTr="007E53EA">
        <w:tc>
          <w:tcPr>
            <w:tcW w:w="567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Предоставление целевой субсидии на проведение аварийного ремонта, закупку товаров, работ и услуг для нужд муниципальных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18 394,47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26 453,00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8 713,00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1275" w:type="dxa"/>
            <w:vMerge w:val="restart"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проведение аварийного ремонта, закупку товаров, работ и услуг для нужд муниципальных общеобразовательных организаций</w:t>
            </w:r>
          </w:p>
        </w:tc>
      </w:tr>
      <w:tr w:rsidR="008F5FC0" w:rsidRPr="00FE0B2D" w:rsidTr="007E53EA">
        <w:tc>
          <w:tcPr>
            <w:tcW w:w="567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18 394,47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sz w:val="16"/>
                <w:szCs w:val="16"/>
              </w:rPr>
            </w:pPr>
            <w:r w:rsidRPr="008F5FC0">
              <w:rPr>
                <w:sz w:val="16"/>
                <w:szCs w:val="16"/>
              </w:rPr>
              <w:t>26 453,00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8 713,00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127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894" w:rsidRPr="00FE0B2D" w:rsidTr="007E53EA">
        <w:tc>
          <w:tcPr>
            <w:tcW w:w="567" w:type="dxa"/>
            <w:vMerge/>
          </w:tcPr>
          <w:p w:rsidR="00DC0894" w:rsidRPr="00FE0B2D" w:rsidRDefault="00DC0894" w:rsidP="00DC08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sz w:val="16"/>
                <w:szCs w:val="16"/>
              </w:rPr>
            </w:pPr>
            <w:r w:rsidRPr="00DC089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C0894" w:rsidRPr="00FE0B2D" w:rsidRDefault="00DC0894" w:rsidP="00DC08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1F216C" w:rsidRPr="00BE6A68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 </w:t>
            </w:r>
          </w:p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104 849,00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551 616,00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109 832,00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111 982,00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1275" w:type="dxa"/>
            <w:vMerge w:val="restart"/>
          </w:tcPr>
          <w:p w:rsidR="001F216C" w:rsidRPr="00FE0B2D" w:rsidRDefault="00F0658E" w:rsidP="00F065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28 222,00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178 733,00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35 627,00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36 072,00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76 627,00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372 883,00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74 205,00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75 910,00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850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7 151,00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275" w:type="dxa"/>
            <w:vMerge w:val="restart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7 151,00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 w:val="restart"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884CBE" w:rsidRPr="00FE0B2D" w:rsidRDefault="00884CBE" w:rsidP="00884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84CBE" w:rsidRPr="00FE0B2D" w:rsidRDefault="00884CBE" w:rsidP="00884C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510 010,00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1275" w:type="dxa"/>
            <w:vMerge w:val="restart"/>
          </w:tcPr>
          <w:p w:rsidR="00884CBE" w:rsidRPr="00FE0B2D" w:rsidRDefault="00884CBE" w:rsidP="0084536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84CBE" w:rsidRPr="007D1D7A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 w:rsidR="00356EA6"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27 322,00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175 000,00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68 520,00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335 010,00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 w:val="restart"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884CBE" w:rsidRPr="00FE0B2D" w:rsidRDefault="00884CBE" w:rsidP="00884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84CBE" w:rsidRPr="00FE0B2D" w:rsidRDefault="00884CBE" w:rsidP="00884C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75" w:type="dxa"/>
            <w:vMerge w:val="restart"/>
          </w:tcPr>
          <w:p w:rsidR="00884CBE" w:rsidRPr="00FE0B2D" w:rsidRDefault="00884CBE" w:rsidP="0084536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7E53EA">
        <w:tc>
          <w:tcPr>
            <w:tcW w:w="567" w:type="dxa"/>
            <w:vMerge w:val="restart"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E81518" w:rsidRPr="00FE0B2D" w:rsidRDefault="00E81518" w:rsidP="00E81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81518" w:rsidRPr="00FE0B2D" w:rsidRDefault="00E81518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E81518" w:rsidRPr="00FE0B2D" w:rsidTr="007E53EA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420,00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7E53EA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 w:val="restart"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C0BAB" w:rsidRPr="00E81518" w:rsidRDefault="000C0BAB" w:rsidP="000C0B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6 626,00</w:t>
            </w:r>
          </w:p>
        </w:tc>
        <w:tc>
          <w:tcPr>
            <w:tcW w:w="993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275" w:type="dxa"/>
            <w:vMerge w:val="restart"/>
          </w:tcPr>
          <w:p w:rsidR="000C0BAB" w:rsidRPr="00FE0B2D" w:rsidRDefault="000C0BAB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E81518" w:rsidRPr="00FE0B2D" w:rsidTr="007E53EA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0C0BAB">
        <w:trPr>
          <w:trHeight w:val="644"/>
        </w:trPr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 w:val="restart"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0C0BAB" w:rsidRPr="000C0BAB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5. </w:t>
            </w:r>
          </w:p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0C0BAB" w:rsidRPr="007D1D7A" w:rsidRDefault="004239CA" w:rsidP="004239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0C0BAB">
        <w:trPr>
          <w:trHeight w:val="349"/>
        </w:trPr>
        <w:tc>
          <w:tcPr>
            <w:tcW w:w="567" w:type="dxa"/>
            <w:vMerge w:val="restart"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0C0BAB" w:rsidRPr="00FE0B2D" w:rsidRDefault="000C0BAB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BAB" w:rsidRPr="007D1D7A" w:rsidRDefault="00C9393B" w:rsidP="000C0BAB">
            <w:pPr>
              <w:rPr>
                <w:rFonts w:cs="Times New Roman"/>
                <w:sz w:val="16"/>
                <w:szCs w:val="16"/>
              </w:rPr>
            </w:pPr>
            <w:r w:rsidRPr="00C9393B">
              <w:rPr>
                <w:rFonts w:cs="Times New Roman"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 w:val="restart"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061B4B" w:rsidRPr="00061B4B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61B4B" w:rsidRPr="00FE0B2D" w:rsidRDefault="00061B4B" w:rsidP="00061B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57 129,28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3 308,28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061B4B" w:rsidRPr="007D1D7A" w:rsidRDefault="004239CA" w:rsidP="004239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4B" w:rsidRPr="00FE0B2D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sz w:val="16"/>
                <w:szCs w:val="16"/>
              </w:rPr>
            </w:pPr>
            <w:r w:rsidRPr="00061B4B">
              <w:rPr>
                <w:sz w:val="16"/>
                <w:szCs w:val="16"/>
              </w:rPr>
              <w:t>10 875,28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10 819,00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4B" w:rsidRPr="00FE0B2D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sz w:val="16"/>
                <w:szCs w:val="16"/>
              </w:rPr>
            </w:pPr>
            <w:r w:rsidRPr="00061B4B">
              <w:rPr>
                <w:sz w:val="16"/>
                <w:szCs w:val="16"/>
              </w:rPr>
              <w:t>44 565,58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43 002,00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1 563,58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4B" w:rsidRPr="00FE0B2D" w:rsidRDefault="00061B4B" w:rsidP="00061B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sz w:val="16"/>
                <w:szCs w:val="16"/>
              </w:rPr>
            </w:pPr>
            <w:r w:rsidRPr="00061B4B">
              <w:rPr>
                <w:sz w:val="16"/>
                <w:szCs w:val="16"/>
              </w:rPr>
              <w:t>1 688,42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1 688,42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 w:val="restart"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987C78" w:rsidRPr="007D1D7A" w:rsidRDefault="00E557F7" w:rsidP="00987C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="00987C78" w:rsidRPr="00987C78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563,58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563,58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1 688,42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1 688,42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 w:val="restart"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987C78" w:rsidRPr="007D1D7A" w:rsidRDefault="00496E6F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87C78" w:rsidRPr="007D1D7A" w:rsidRDefault="00496E6F" w:rsidP="00987C78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239CA" w:rsidRPr="00FE0B2D" w:rsidTr="007E53EA">
        <w:tc>
          <w:tcPr>
            <w:tcW w:w="567" w:type="dxa"/>
            <w:vMerge w:val="restart"/>
          </w:tcPr>
          <w:p w:rsidR="004239CA" w:rsidRPr="00FE0B2D" w:rsidRDefault="004239CA" w:rsidP="004239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4239CA" w:rsidRPr="00FE0B2D" w:rsidRDefault="004239CA" w:rsidP="004239C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4239CA" w:rsidRPr="00FE0B2D" w:rsidRDefault="004239CA" w:rsidP="00423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239CA" w:rsidRPr="00FE0B2D" w:rsidRDefault="004239CA" w:rsidP="00423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39CA" w:rsidRPr="00496E6F" w:rsidRDefault="004239CA" w:rsidP="004239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239CA" w:rsidRPr="004239CA" w:rsidRDefault="004239CA" w:rsidP="004239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239CA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3" w:type="dxa"/>
            <w:vAlign w:val="center"/>
          </w:tcPr>
          <w:p w:rsidR="004239CA" w:rsidRPr="004239CA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239CA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2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4239CA" w:rsidRPr="008C2590" w:rsidRDefault="004239CA" w:rsidP="008C2590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 w:rsidR="008C259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vMerge w:val="restart"/>
          </w:tcPr>
          <w:p w:rsidR="004239CA" w:rsidRPr="00FE0B2D" w:rsidRDefault="004239CA" w:rsidP="004239C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496E6F" w:rsidRPr="00FE0B2D" w:rsidTr="007E53EA">
        <w:tc>
          <w:tcPr>
            <w:tcW w:w="567" w:type="dxa"/>
            <w:vMerge/>
          </w:tcPr>
          <w:p w:rsidR="00496E6F" w:rsidRPr="00FE0B2D" w:rsidRDefault="00496E6F" w:rsidP="00496E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E6F" w:rsidRPr="00FE0B2D" w:rsidRDefault="00496E6F" w:rsidP="00217A7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10 819,00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10 819,00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96E6F" w:rsidRPr="00FE0B2D" w:rsidTr="007E53EA">
        <w:tc>
          <w:tcPr>
            <w:tcW w:w="567" w:type="dxa"/>
            <w:vMerge/>
          </w:tcPr>
          <w:p w:rsidR="00496E6F" w:rsidRPr="00FE0B2D" w:rsidRDefault="00496E6F" w:rsidP="00496E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43 002,00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43 002,00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96E6F" w:rsidRPr="00FE0B2D" w:rsidTr="007E53EA">
        <w:tc>
          <w:tcPr>
            <w:tcW w:w="567" w:type="dxa"/>
            <w:vMerge/>
          </w:tcPr>
          <w:p w:rsidR="00496E6F" w:rsidRPr="00FE0B2D" w:rsidRDefault="00496E6F" w:rsidP="00496E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FC" w:rsidRPr="00FE0B2D" w:rsidTr="007E53EA">
        <w:tc>
          <w:tcPr>
            <w:tcW w:w="567" w:type="dxa"/>
            <w:vMerge w:val="restart"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1 480 114,17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7 612 629,38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1 592 734,40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1 503 297,90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1 507 737,88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1 504 429,60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1 504 429,60</w:t>
            </w:r>
          </w:p>
        </w:tc>
        <w:tc>
          <w:tcPr>
            <w:tcW w:w="2976" w:type="dxa"/>
            <w:gridSpan w:val="2"/>
            <w:vMerge w:val="restart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FC" w:rsidRPr="00FE0B2D" w:rsidTr="007E53EA">
        <w:tc>
          <w:tcPr>
            <w:tcW w:w="567" w:type="dxa"/>
            <w:vMerge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21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252 933,17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1 212 022,38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279 233,40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231 093,90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FC" w:rsidRPr="00FE0B2D" w:rsidTr="007E53EA">
        <w:tc>
          <w:tcPr>
            <w:tcW w:w="567" w:type="dxa"/>
            <w:vMerge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1 227 181,00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6 398 918,58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1 313 501,00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1 272 204,00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1 272 113,58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1 270 550,00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1 270 550,00</w:t>
            </w:r>
          </w:p>
        </w:tc>
        <w:tc>
          <w:tcPr>
            <w:tcW w:w="2976" w:type="dxa"/>
            <w:gridSpan w:val="2"/>
            <w:vMerge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FC" w:rsidRPr="00FE0B2D" w:rsidTr="00217A70">
        <w:trPr>
          <w:trHeight w:val="421"/>
        </w:trPr>
        <w:tc>
          <w:tcPr>
            <w:tcW w:w="567" w:type="dxa"/>
            <w:vMerge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1 688,42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1 688,42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C0BAB" w:rsidRPr="00A85958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701F48" w:rsidRDefault="0040334A" w:rsidP="0040334A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953 513,07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211 812,00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241 075,87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869 531,07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201 372,00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28 825,60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18 385,60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512 563,87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98 087,00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159 802,07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439 021,87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98 087,00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18 385,60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18 385,60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440 949,20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113 725,00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430 509,20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103 285,00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обновляемости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B4EA7" w:rsidRPr="00FE0B2D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FE0B2D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179 856,39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855 796,80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190 457,00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179 856,39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855 796,80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190 457,00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80 499,60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429 262,60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96 255,00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5D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2B0A7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80 499,60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429 262,60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96 255,00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B71978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8E4C5F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418 694,20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92 570,00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B71978" w:rsidRPr="00B96AC3" w:rsidRDefault="0091734C" w:rsidP="00B71978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B96AC3" w:rsidRDefault="0091734C" w:rsidP="00B71978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418 694,20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92 570,00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61A5E" w:rsidRPr="00FE0B2D" w:rsidTr="001F3789">
        <w:tc>
          <w:tcPr>
            <w:tcW w:w="567" w:type="dxa"/>
            <w:vMerge w:val="restart"/>
          </w:tcPr>
          <w:p w:rsidR="00861A5E" w:rsidRPr="00FE0B2D" w:rsidRDefault="00861A5E" w:rsidP="00861A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61A5E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1A5E" w:rsidRPr="00FE0B2D" w:rsidRDefault="00861A5E" w:rsidP="00861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61A5E" w:rsidRPr="00FE0B2D" w:rsidRDefault="00861A5E" w:rsidP="00861A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61A5E" w:rsidRPr="00861A5E" w:rsidRDefault="00861A5E" w:rsidP="00861A5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1 887,00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61A5E" w:rsidRPr="00FE0B2D" w:rsidRDefault="00861A5E" w:rsidP="005D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61A5E" w:rsidRPr="00FE0B2D" w:rsidTr="001F3789">
        <w:tc>
          <w:tcPr>
            <w:tcW w:w="567" w:type="dxa"/>
            <w:vMerge/>
          </w:tcPr>
          <w:p w:rsidR="00861A5E" w:rsidRPr="00FE0B2D" w:rsidRDefault="00861A5E" w:rsidP="00861A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1 887,00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sz w:val="16"/>
                <w:szCs w:val="16"/>
              </w:rPr>
            </w:pPr>
            <w:r w:rsidRPr="00861A5E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61A5E" w:rsidRPr="00FE0B2D" w:rsidTr="001F3789">
        <w:tc>
          <w:tcPr>
            <w:tcW w:w="567" w:type="dxa"/>
            <w:vMerge/>
          </w:tcPr>
          <w:p w:rsidR="00861A5E" w:rsidRPr="00FE0B2D" w:rsidRDefault="00861A5E" w:rsidP="00861A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sz w:val="16"/>
                <w:szCs w:val="16"/>
              </w:rPr>
            </w:pPr>
            <w:r w:rsidRPr="00861A5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95880" w:rsidRPr="00FE0B2D" w:rsidTr="001F3789">
        <w:tc>
          <w:tcPr>
            <w:tcW w:w="567" w:type="dxa"/>
            <w:vMerge w:val="restart"/>
          </w:tcPr>
          <w:p w:rsidR="00195880" w:rsidRPr="00FE0B2D" w:rsidRDefault="00195880" w:rsidP="0019588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  <w:r w:rsidRPr="00195880">
              <w:rPr>
                <w:rFonts w:cs="Times New Roman"/>
                <w:sz w:val="16"/>
                <w:szCs w:val="16"/>
              </w:rPr>
              <w:t>Предоставление целевой субсидии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195880" w:rsidRPr="00FE0B2D" w:rsidRDefault="00195880" w:rsidP="001958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95880" w:rsidRPr="00FE0B2D" w:rsidRDefault="00195880" w:rsidP="001958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95880" w:rsidRPr="00195880" w:rsidRDefault="00195880" w:rsidP="0019588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7 720,55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195880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95880" w:rsidRPr="00FE0B2D" w:rsidRDefault="001F3789" w:rsidP="00195880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195880" w:rsidRPr="00FE0B2D" w:rsidTr="001F3789">
        <w:tc>
          <w:tcPr>
            <w:tcW w:w="567" w:type="dxa"/>
            <w:vMerge/>
          </w:tcPr>
          <w:p w:rsidR="00195880" w:rsidRPr="00FE0B2D" w:rsidRDefault="00195880" w:rsidP="001958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7 720,55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sz w:val="16"/>
                <w:szCs w:val="16"/>
              </w:rPr>
            </w:pPr>
            <w:r w:rsidRPr="00195880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95880" w:rsidRPr="00FE0B2D" w:rsidTr="001F3789">
        <w:tc>
          <w:tcPr>
            <w:tcW w:w="567" w:type="dxa"/>
            <w:vMerge/>
          </w:tcPr>
          <w:p w:rsidR="00195880" w:rsidRPr="00FE0B2D" w:rsidRDefault="00195880" w:rsidP="001958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sz w:val="16"/>
                <w:szCs w:val="16"/>
              </w:rPr>
            </w:pPr>
            <w:r w:rsidRPr="001958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D878B4" w:rsidP="00B719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B71978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B71978" w:rsidRPr="00AE5013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 w:rsidR="00D878B4">
              <w:rPr>
                <w:rFonts w:cs="Times New Roman"/>
                <w:sz w:val="16"/>
                <w:szCs w:val="16"/>
              </w:rPr>
              <w:t>5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18 152,60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18 152,60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D878B4" w:rsidP="00B719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B71978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B1070E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13 250,60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B71978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13 250,60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D878B4" w:rsidP="00B719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B71978">
              <w:rPr>
                <w:rFonts w:cs="Times New Roman"/>
                <w:sz w:val="16"/>
                <w:szCs w:val="16"/>
              </w:rPr>
              <w:t>.2</w:t>
            </w:r>
          </w:p>
        </w:tc>
        <w:tc>
          <w:tcPr>
            <w:tcW w:w="1985" w:type="dxa"/>
            <w:vMerge w:val="restart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cs="Times New Roman"/>
                <w:sz w:val="16"/>
                <w:szCs w:val="16"/>
              </w:rPr>
              <w:t xml:space="preserve"> в сфере культуры и искусства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878B4" w:rsidRPr="00092D63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5D4B75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D878B4" w:rsidRDefault="00D878B4" w:rsidP="00D878B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1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 w:val="restart"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A54660" w:rsidRPr="00092D63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A54660" w:rsidRPr="00FE0B2D" w:rsidRDefault="00A54660" w:rsidP="00A54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18 385,60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18 385,60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 w:val="restart"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A54660" w:rsidRPr="00FE0B2D" w:rsidRDefault="002C0AA6" w:rsidP="00A54660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 xml:space="preserve">Создание детских технопарков «Кванториум»  </w:t>
            </w:r>
          </w:p>
        </w:tc>
        <w:tc>
          <w:tcPr>
            <w:tcW w:w="850" w:type="dxa"/>
            <w:vMerge w:val="restart"/>
          </w:tcPr>
          <w:p w:rsidR="00A54660" w:rsidRPr="00FE0B2D" w:rsidRDefault="00A54660" w:rsidP="00A54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54660" w:rsidRPr="00FE0B2D" w:rsidRDefault="00A54660" w:rsidP="005D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«Кванториум»</w:t>
            </w: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18 385,60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18 385,60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 w:val="restart"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220 123,99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953 513,07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211 812,00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241 075,87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209 303,99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869 531,07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201 372,00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28 825,60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18 385,60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23FE8" w:rsidRDefault="00C23FE8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23FE8" w:rsidRDefault="00C23FE8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23FE8" w:rsidRDefault="00C23FE8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D5355A" w:rsidRDefault="00D5355A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4540DB" w:rsidRPr="00025001" w:rsidTr="00646159">
        <w:tc>
          <w:tcPr>
            <w:tcW w:w="2551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336 947,92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73 399,90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</w:tr>
      <w:tr w:rsidR="004540DB" w:rsidRPr="00025001" w:rsidTr="00646159">
        <w:tc>
          <w:tcPr>
            <w:tcW w:w="2551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336 947,92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73 399,90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E01942" w:rsidRDefault="00E0194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540DB" w:rsidRPr="00FE0B2D" w:rsidTr="00C07434">
        <w:tc>
          <w:tcPr>
            <w:tcW w:w="567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4540DB" w:rsidRPr="00C07434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</w:p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самоуправления в сфере образования</w:t>
            </w:r>
          </w:p>
        </w:tc>
        <w:tc>
          <w:tcPr>
            <w:tcW w:w="850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4540DB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0DB" w:rsidRPr="00FE0B2D" w:rsidTr="00C07434">
        <w:tc>
          <w:tcPr>
            <w:tcW w:w="567" w:type="dxa"/>
            <w:vMerge/>
          </w:tcPr>
          <w:p w:rsidR="004540DB" w:rsidRPr="00FE0B2D" w:rsidRDefault="004540DB" w:rsidP="004540D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434" w:rsidRPr="00FE0B2D" w:rsidTr="00C07434">
        <w:tc>
          <w:tcPr>
            <w:tcW w:w="567" w:type="dxa"/>
            <w:vMerge/>
          </w:tcPr>
          <w:p w:rsidR="00C07434" w:rsidRPr="00FE0B2D" w:rsidRDefault="00C07434" w:rsidP="00C074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7434" w:rsidRPr="00FE0B2D" w:rsidRDefault="00C07434" w:rsidP="00C074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434" w:rsidRPr="00FE0B2D" w:rsidRDefault="00C07434" w:rsidP="00C074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7434" w:rsidRPr="00FE0B2D" w:rsidRDefault="00C07434" w:rsidP="00C074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7434" w:rsidRPr="00BE6BBC" w:rsidRDefault="00C07434" w:rsidP="00C07434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C07434" w:rsidRPr="00FE0B2D" w:rsidRDefault="00C07434" w:rsidP="00C074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7434" w:rsidRPr="00FE0B2D" w:rsidRDefault="00C07434" w:rsidP="00C074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0DB" w:rsidRPr="00FE0B2D" w:rsidTr="00646159">
        <w:tc>
          <w:tcPr>
            <w:tcW w:w="567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19 868,60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98 833,00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20 006,60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4540DB" w:rsidRPr="00FE0B2D" w:rsidRDefault="004540DB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4540DB" w:rsidRPr="00FE0B2D" w:rsidTr="00646159">
        <w:tc>
          <w:tcPr>
            <w:tcW w:w="567" w:type="dxa"/>
            <w:vMerge/>
          </w:tcPr>
          <w:p w:rsidR="004540DB" w:rsidRPr="00FE0B2D" w:rsidRDefault="004540DB" w:rsidP="004540D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19 868,60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98 833,00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20 006,60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4540DB" w:rsidRPr="00FE0B2D" w:rsidRDefault="004540DB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2B" w:rsidRPr="00FE0B2D" w:rsidTr="00646159">
        <w:tc>
          <w:tcPr>
            <w:tcW w:w="567" w:type="dxa"/>
            <w:vMerge w:val="restart"/>
          </w:tcPr>
          <w:p w:rsidR="00453F2B" w:rsidRPr="00FE0B2D" w:rsidRDefault="00453F2B" w:rsidP="00453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850" w:type="dxa"/>
            <w:vMerge w:val="restart"/>
          </w:tcPr>
          <w:p w:rsidR="00453F2B" w:rsidRPr="00FE0B2D" w:rsidRDefault="00453F2B" w:rsidP="00453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45 714,60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453F2B" w:rsidRPr="00FE0B2D" w:rsidRDefault="00453F2B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453F2B" w:rsidRPr="00FE0B2D" w:rsidTr="00646159">
        <w:tc>
          <w:tcPr>
            <w:tcW w:w="567" w:type="dxa"/>
            <w:vMerge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45 714,60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49" w:rsidRPr="00FE0B2D" w:rsidTr="00646159">
        <w:tc>
          <w:tcPr>
            <w:tcW w:w="567" w:type="dxa"/>
            <w:vMerge/>
          </w:tcPr>
          <w:p w:rsidR="00E52849" w:rsidRPr="00FE0B2D" w:rsidRDefault="00E52849" w:rsidP="00E5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2849" w:rsidRPr="00FE0B2D" w:rsidRDefault="00E52849" w:rsidP="00E5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849" w:rsidRPr="00FE0B2D" w:rsidRDefault="00E52849" w:rsidP="00E5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849" w:rsidRPr="00FE0B2D" w:rsidRDefault="00E52849" w:rsidP="00E528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2849" w:rsidRPr="00BE6BBC" w:rsidRDefault="00E52849" w:rsidP="00E52849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52849" w:rsidRPr="00FE0B2D" w:rsidRDefault="00E52849" w:rsidP="00E528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2849" w:rsidRPr="00FE0B2D" w:rsidRDefault="00E52849" w:rsidP="00E528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2B" w:rsidRPr="00FE0B2D" w:rsidTr="00646159">
        <w:tc>
          <w:tcPr>
            <w:tcW w:w="567" w:type="dxa"/>
            <w:vMerge w:val="restart"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2B" w:rsidRPr="00FE0B2D" w:rsidTr="00646159">
        <w:tc>
          <w:tcPr>
            <w:tcW w:w="567" w:type="dxa"/>
            <w:vMerge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p w:rsidR="00E21ED4" w:rsidRDefault="00E21ED4" w:rsidP="00E21ED4">
      <w:r>
        <w:t>Верно:</w:t>
      </w:r>
    </w:p>
    <w:p w:rsidR="00E21ED4" w:rsidRDefault="00E21ED4" w:rsidP="00E21ED4">
      <w:pPr>
        <w:rPr>
          <w:rFonts w:cs="Times New Roman"/>
        </w:rPr>
      </w:pPr>
      <w:r>
        <w:t>Начальник информационно-аналитического отдела                                                                Н.А. Сухорукова</w:t>
      </w:r>
    </w:p>
    <w:sectPr w:rsidR="00E21ED4" w:rsidSect="00E27A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44" w:rsidRDefault="00F91644" w:rsidP="00CA72CC">
      <w:r>
        <w:separator/>
      </w:r>
    </w:p>
  </w:endnote>
  <w:endnote w:type="continuationSeparator" w:id="0">
    <w:p w:rsidR="00F91644" w:rsidRDefault="00F91644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44" w:rsidRDefault="00F91644" w:rsidP="00CA72CC">
      <w:r>
        <w:separator/>
      </w:r>
    </w:p>
  </w:footnote>
  <w:footnote w:type="continuationSeparator" w:id="0">
    <w:p w:rsidR="00F91644" w:rsidRDefault="00F91644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8521"/>
      <w:docPartObj>
        <w:docPartGallery w:val="Page Numbers (Top of Page)"/>
        <w:docPartUnique/>
      </w:docPartObj>
    </w:sdtPr>
    <w:sdtEndPr/>
    <w:sdtContent>
      <w:p w:rsidR="00B26F30" w:rsidRDefault="00B26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E9">
          <w:rPr>
            <w:noProof/>
          </w:rPr>
          <w:t>11</w:t>
        </w:r>
        <w:r>
          <w:fldChar w:fldCharType="end"/>
        </w:r>
      </w:p>
    </w:sdtContent>
  </w:sdt>
  <w:p w:rsidR="00B26F30" w:rsidRDefault="00B26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A3C"/>
    <w:rsid w:val="00013762"/>
    <w:rsid w:val="00015F3A"/>
    <w:rsid w:val="0002002A"/>
    <w:rsid w:val="00020E6E"/>
    <w:rsid w:val="0002724B"/>
    <w:rsid w:val="000307FD"/>
    <w:rsid w:val="00045238"/>
    <w:rsid w:val="00047B65"/>
    <w:rsid w:val="00051044"/>
    <w:rsid w:val="0005141A"/>
    <w:rsid w:val="0005269D"/>
    <w:rsid w:val="00061B4B"/>
    <w:rsid w:val="000745C0"/>
    <w:rsid w:val="00083664"/>
    <w:rsid w:val="000900B8"/>
    <w:rsid w:val="00092D63"/>
    <w:rsid w:val="00093094"/>
    <w:rsid w:val="00094BC0"/>
    <w:rsid w:val="000A5176"/>
    <w:rsid w:val="000B23EA"/>
    <w:rsid w:val="000B4560"/>
    <w:rsid w:val="000C0BAB"/>
    <w:rsid w:val="000C0C1D"/>
    <w:rsid w:val="000C3112"/>
    <w:rsid w:val="000D1A8E"/>
    <w:rsid w:val="000E025A"/>
    <w:rsid w:val="000E3854"/>
    <w:rsid w:val="000F17DC"/>
    <w:rsid w:val="000F23F2"/>
    <w:rsid w:val="000F4294"/>
    <w:rsid w:val="001038C4"/>
    <w:rsid w:val="00112E43"/>
    <w:rsid w:val="00114305"/>
    <w:rsid w:val="00121ABF"/>
    <w:rsid w:val="00130ACB"/>
    <w:rsid w:val="00160D77"/>
    <w:rsid w:val="00183F43"/>
    <w:rsid w:val="00185FD7"/>
    <w:rsid w:val="00195880"/>
    <w:rsid w:val="001A4A02"/>
    <w:rsid w:val="001A54E9"/>
    <w:rsid w:val="001A6C48"/>
    <w:rsid w:val="001B2745"/>
    <w:rsid w:val="001B4EA7"/>
    <w:rsid w:val="001C0D22"/>
    <w:rsid w:val="001D37F6"/>
    <w:rsid w:val="001F216C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682D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705D3"/>
    <w:rsid w:val="0027085E"/>
    <w:rsid w:val="002762A2"/>
    <w:rsid w:val="00287264"/>
    <w:rsid w:val="002B0A7D"/>
    <w:rsid w:val="002B10C4"/>
    <w:rsid w:val="002B6811"/>
    <w:rsid w:val="002B7207"/>
    <w:rsid w:val="002C0AA6"/>
    <w:rsid w:val="002C27BD"/>
    <w:rsid w:val="002C369B"/>
    <w:rsid w:val="002D0A5D"/>
    <w:rsid w:val="002D4DD1"/>
    <w:rsid w:val="002D7754"/>
    <w:rsid w:val="002F6605"/>
    <w:rsid w:val="002F6A7A"/>
    <w:rsid w:val="00307D75"/>
    <w:rsid w:val="00312507"/>
    <w:rsid w:val="0031707D"/>
    <w:rsid w:val="0032510C"/>
    <w:rsid w:val="003314A6"/>
    <w:rsid w:val="00351882"/>
    <w:rsid w:val="0035315C"/>
    <w:rsid w:val="0035360C"/>
    <w:rsid w:val="00356EA6"/>
    <w:rsid w:val="00360E56"/>
    <w:rsid w:val="0037017E"/>
    <w:rsid w:val="00381B31"/>
    <w:rsid w:val="003932A7"/>
    <w:rsid w:val="00394354"/>
    <w:rsid w:val="003A02B6"/>
    <w:rsid w:val="003B094E"/>
    <w:rsid w:val="003B6C82"/>
    <w:rsid w:val="003B6D55"/>
    <w:rsid w:val="003C10AE"/>
    <w:rsid w:val="003D4010"/>
    <w:rsid w:val="003D4560"/>
    <w:rsid w:val="003D74E4"/>
    <w:rsid w:val="003E5CC5"/>
    <w:rsid w:val="003E6B36"/>
    <w:rsid w:val="003E7149"/>
    <w:rsid w:val="003E7B20"/>
    <w:rsid w:val="003F5620"/>
    <w:rsid w:val="00402413"/>
    <w:rsid w:val="0040334A"/>
    <w:rsid w:val="00407BA5"/>
    <w:rsid w:val="004239CA"/>
    <w:rsid w:val="00424497"/>
    <w:rsid w:val="00430B3D"/>
    <w:rsid w:val="00432782"/>
    <w:rsid w:val="00437E46"/>
    <w:rsid w:val="004525E8"/>
    <w:rsid w:val="00453F2B"/>
    <w:rsid w:val="004540DB"/>
    <w:rsid w:val="00454CD9"/>
    <w:rsid w:val="00455332"/>
    <w:rsid w:val="00457E6D"/>
    <w:rsid w:val="004615B3"/>
    <w:rsid w:val="00464C70"/>
    <w:rsid w:val="00472488"/>
    <w:rsid w:val="00474FF1"/>
    <w:rsid w:val="00480D59"/>
    <w:rsid w:val="00490945"/>
    <w:rsid w:val="00496E6F"/>
    <w:rsid w:val="004A7E29"/>
    <w:rsid w:val="004B570D"/>
    <w:rsid w:val="004C3B78"/>
    <w:rsid w:val="004C547A"/>
    <w:rsid w:val="004D5582"/>
    <w:rsid w:val="004D6C57"/>
    <w:rsid w:val="004F41C7"/>
    <w:rsid w:val="005054DC"/>
    <w:rsid w:val="00517F5E"/>
    <w:rsid w:val="00520DCB"/>
    <w:rsid w:val="00525420"/>
    <w:rsid w:val="00527245"/>
    <w:rsid w:val="00527DC3"/>
    <w:rsid w:val="005427BB"/>
    <w:rsid w:val="00556A52"/>
    <w:rsid w:val="00557A1D"/>
    <w:rsid w:val="005607E2"/>
    <w:rsid w:val="00566335"/>
    <w:rsid w:val="005677B5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143E"/>
    <w:rsid w:val="005D4B75"/>
    <w:rsid w:val="005D55C3"/>
    <w:rsid w:val="005F2398"/>
    <w:rsid w:val="005F65FA"/>
    <w:rsid w:val="00601C34"/>
    <w:rsid w:val="00605DE9"/>
    <w:rsid w:val="00607A6A"/>
    <w:rsid w:val="00612334"/>
    <w:rsid w:val="00616C7B"/>
    <w:rsid w:val="00622FE9"/>
    <w:rsid w:val="00626788"/>
    <w:rsid w:val="006324F3"/>
    <w:rsid w:val="00646159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7ED7"/>
    <w:rsid w:val="006C4985"/>
    <w:rsid w:val="006C772C"/>
    <w:rsid w:val="006E29EC"/>
    <w:rsid w:val="006E6E95"/>
    <w:rsid w:val="006F2D06"/>
    <w:rsid w:val="00701F48"/>
    <w:rsid w:val="007037E2"/>
    <w:rsid w:val="0071366B"/>
    <w:rsid w:val="007256E4"/>
    <w:rsid w:val="00736787"/>
    <w:rsid w:val="00742505"/>
    <w:rsid w:val="007477AC"/>
    <w:rsid w:val="00750F52"/>
    <w:rsid w:val="0075435C"/>
    <w:rsid w:val="00756E0A"/>
    <w:rsid w:val="00756F6E"/>
    <w:rsid w:val="00765143"/>
    <w:rsid w:val="00773A83"/>
    <w:rsid w:val="00787320"/>
    <w:rsid w:val="007935AC"/>
    <w:rsid w:val="0079503E"/>
    <w:rsid w:val="007B6508"/>
    <w:rsid w:val="007C151C"/>
    <w:rsid w:val="007C2760"/>
    <w:rsid w:val="007D0FD1"/>
    <w:rsid w:val="007D1D7A"/>
    <w:rsid w:val="007D274F"/>
    <w:rsid w:val="007D3C3E"/>
    <w:rsid w:val="007D7441"/>
    <w:rsid w:val="007E0CEB"/>
    <w:rsid w:val="007E53EA"/>
    <w:rsid w:val="007E77CF"/>
    <w:rsid w:val="00812057"/>
    <w:rsid w:val="00814206"/>
    <w:rsid w:val="008166DD"/>
    <w:rsid w:val="00817454"/>
    <w:rsid w:val="00824C44"/>
    <w:rsid w:val="00824CEF"/>
    <w:rsid w:val="00827FDB"/>
    <w:rsid w:val="00837A1E"/>
    <w:rsid w:val="00841030"/>
    <w:rsid w:val="008414DD"/>
    <w:rsid w:val="00845362"/>
    <w:rsid w:val="0084746A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4CBE"/>
    <w:rsid w:val="00884DFD"/>
    <w:rsid w:val="008B00CC"/>
    <w:rsid w:val="008B092F"/>
    <w:rsid w:val="008B31CD"/>
    <w:rsid w:val="008C2590"/>
    <w:rsid w:val="008C3289"/>
    <w:rsid w:val="008C32E5"/>
    <w:rsid w:val="008C7693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10BF8"/>
    <w:rsid w:val="00915F62"/>
    <w:rsid w:val="0091734C"/>
    <w:rsid w:val="00920E42"/>
    <w:rsid w:val="00921ADB"/>
    <w:rsid w:val="009220DD"/>
    <w:rsid w:val="00931FEA"/>
    <w:rsid w:val="00952AB9"/>
    <w:rsid w:val="00987C78"/>
    <w:rsid w:val="00987C9E"/>
    <w:rsid w:val="009912FB"/>
    <w:rsid w:val="009A20B4"/>
    <w:rsid w:val="009A2165"/>
    <w:rsid w:val="009A6844"/>
    <w:rsid w:val="009B26AC"/>
    <w:rsid w:val="009C0911"/>
    <w:rsid w:val="009C0F44"/>
    <w:rsid w:val="009C7C3A"/>
    <w:rsid w:val="009D46AC"/>
    <w:rsid w:val="009D6FFC"/>
    <w:rsid w:val="009E0C2A"/>
    <w:rsid w:val="009E5B82"/>
    <w:rsid w:val="009E656A"/>
    <w:rsid w:val="009F239E"/>
    <w:rsid w:val="009F480C"/>
    <w:rsid w:val="009F59A3"/>
    <w:rsid w:val="00A00A9F"/>
    <w:rsid w:val="00A02FA9"/>
    <w:rsid w:val="00A04762"/>
    <w:rsid w:val="00A07C9A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6AD9"/>
    <w:rsid w:val="00A50855"/>
    <w:rsid w:val="00A532A5"/>
    <w:rsid w:val="00A53BF4"/>
    <w:rsid w:val="00A544D4"/>
    <w:rsid w:val="00A54660"/>
    <w:rsid w:val="00A55D63"/>
    <w:rsid w:val="00A60310"/>
    <w:rsid w:val="00A640BB"/>
    <w:rsid w:val="00A6642B"/>
    <w:rsid w:val="00A679A7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5A38"/>
    <w:rsid w:val="00AC4C1C"/>
    <w:rsid w:val="00AD1659"/>
    <w:rsid w:val="00AD2CE6"/>
    <w:rsid w:val="00AE5013"/>
    <w:rsid w:val="00AE6F3D"/>
    <w:rsid w:val="00B02DA6"/>
    <w:rsid w:val="00B1070E"/>
    <w:rsid w:val="00B11232"/>
    <w:rsid w:val="00B2009F"/>
    <w:rsid w:val="00B218AF"/>
    <w:rsid w:val="00B26F30"/>
    <w:rsid w:val="00B34CFC"/>
    <w:rsid w:val="00B370F5"/>
    <w:rsid w:val="00B45B76"/>
    <w:rsid w:val="00B512C6"/>
    <w:rsid w:val="00B628EC"/>
    <w:rsid w:val="00B632CC"/>
    <w:rsid w:val="00B63AEC"/>
    <w:rsid w:val="00B659E0"/>
    <w:rsid w:val="00B71978"/>
    <w:rsid w:val="00B743BB"/>
    <w:rsid w:val="00B806F5"/>
    <w:rsid w:val="00B85201"/>
    <w:rsid w:val="00B959E8"/>
    <w:rsid w:val="00B96AC3"/>
    <w:rsid w:val="00BA58F5"/>
    <w:rsid w:val="00BA7F25"/>
    <w:rsid w:val="00BB5306"/>
    <w:rsid w:val="00BB7CB0"/>
    <w:rsid w:val="00BC5A73"/>
    <w:rsid w:val="00BD0BED"/>
    <w:rsid w:val="00BD3933"/>
    <w:rsid w:val="00BD4BB9"/>
    <w:rsid w:val="00BE041E"/>
    <w:rsid w:val="00BE14BA"/>
    <w:rsid w:val="00BE3E09"/>
    <w:rsid w:val="00BE6A68"/>
    <w:rsid w:val="00BE6BBC"/>
    <w:rsid w:val="00C007DA"/>
    <w:rsid w:val="00C07434"/>
    <w:rsid w:val="00C17CA8"/>
    <w:rsid w:val="00C23FE8"/>
    <w:rsid w:val="00C30587"/>
    <w:rsid w:val="00C310FD"/>
    <w:rsid w:val="00C54539"/>
    <w:rsid w:val="00C6627E"/>
    <w:rsid w:val="00C67801"/>
    <w:rsid w:val="00C76DF4"/>
    <w:rsid w:val="00C85263"/>
    <w:rsid w:val="00C9393B"/>
    <w:rsid w:val="00C93B63"/>
    <w:rsid w:val="00C97E02"/>
    <w:rsid w:val="00CA72CC"/>
    <w:rsid w:val="00CB3C6F"/>
    <w:rsid w:val="00CB48E4"/>
    <w:rsid w:val="00CC5CAC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1C1C"/>
    <w:rsid w:val="00D22F5F"/>
    <w:rsid w:val="00D33EC4"/>
    <w:rsid w:val="00D35A08"/>
    <w:rsid w:val="00D36D42"/>
    <w:rsid w:val="00D4011C"/>
    <w:rsid w:val="00D42026"/>
    <w:rsid w:val="00D44593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B03FB"/>
    <w:rsid w:val="00DB24C1"/>
    <w:rsid w:val="00DB3C58"/>
    <w:rsid w:val="00DB66AD"/>
    <w:rsid w:val="00DB7786"/>
    <w:rsid w:val="00DC0894"/>
    <w:rsid w:val="00DC2716"/>
    <w:rsid w:val="00DC365A"/>
    <w:rsid w:val="00DD1A02"/>
    <w:rsid w:val="00DD34C4"/>
    <w:rsid w:val="00DD4D01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793A"/>
    <w:rsid w:val="00E21ED4"/>
    <w:rsid w:val="00E27A7D"/>
    <w:rsid w:val="00E34A92"/>
    <w:rsid w:val="00E37A62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E8E"/>
    <w:rsid w:val="00EC65F8"/>
    <w:rsid w:val="00ED0CDA"/>
    <w:rsid w:val="00ED1BD1"/>
    <w:rsid w:val="00EE27ED"/>
    <w:rsid w:val="00EF0523"/>
    <w:rsid w:val="00F0658E"/>
    <w:rsid w:val="00F07ECE"/>
    <w:rsid w:val="00F20C9D"/>
    <w:rsid w:val="00F27E4A"/>
    <w:rsid w:val="00F3013F"/>
    <w:rsid w:val="00F31275"/>
    <w:rsid w:val="00F40AA8"/>
    <w:rsid w:val="00F42394"/>
    <w:rsid w:val="00F43F69"/>
    <w:rsid w:val="00F50FAF"/>
    <w:rsid w:val="00F552EB"/>
    <w:rsid w:val="00F742C1"/>
    <w:rsid w:val="00F85CCC"/>
    <w:rsid w:val="00F90437"/>
    <w:rsid w:val="00F91644"/>
    <w:rsid w:val="00F93CA5"/>
    <w:rsid w:val="00F943D2"/>
    <w:rsid w:val="00F94625"/>
    <w:rsid w:val="00F9546A"/>
    <w:rsid w:val="00F95B75"/>
    <w:rsid w:val="00F97C9D"/>
    <w:rsid w:val="00FA223D"/>
    <w:rsid w:val="00FA69EE"/>
    <w:rsid w:val="00FB0A51"/>
    <w:rsid w:val="00FB5713"/>
    <w:rsid w:val="00FB68E6"/>
    <w:rsid w:val="00FC5408"/>
    <w:rsid w:val="00FE0B2D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00B6-D354-4798-9922-8255BAC8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16605</Words>
  <Characters>94649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Бачурина</cp:lastModifiedBy>
  <cp:revision>2</cp:revision>
  <cp:lastPrinted>2019-11-12T05:58:00Z</cp:lastPrinted>
  <dcterms:created xsi:type="dcterms:W3CDTF">2019-11-28T11:06:00Z</dcterms:created>
  <dcterms:modified xsi:type="dcterms:W3CDTF">2019-11-28T11:06:00Z</dcterms:modified>
</cp:coreProperties>
</file>