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2C" w:rsidRDefault="00652B2C" w:rsidP="00652B2C">
      <w:pPr>
        <w:ind w:right="-2"/>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652B2C" w:rsidRPr="00537687" w:rsidRDefault="00652B2C" w:rsidP="00652B2C">
      <w:pPr>
        <w:ind w:right="-2" w:firstLine="1701"/>
        <w:rPr>
          <w:b/>
        </w:rPr>
      </w:pPr>
      <w:r w:rsidRPr="00537687">
        <w:tab/>
      </w:r>
      <w:r w:rsidRPr="00537687">
        <w:tab/>
      </w:r>
    </w:p>
    <w:p w:rsidR="00652B2C" w:rsidRDefault="00652B2C" w:rsidP="00652B2C">
      <w:pPr>
        <w:ind w:right="-2"/>
        <w:jc w:val="center"/>
        <w:rPr>
          <w:b/>
          <w:sz w:val="28"/>
        </w:rPr>
      </w:pPr>
      <w:r>
        <w:rPr>
          <w:b/>
          <w:sz w:val="28"/>
        </w:rPr>
        <w:t>АДМИНИСТРАЦИЯ  ГОРОДСКОГО ОКРУГА ЭЛЕКТРОСТАЛЬ</w:t>
      </w:r>
    </w:p>
    <w:p w:rsidR="00652B2C" w:rsidRPr="00FC1C14" w:rsidRDefault="00652B2C" w:rsidP="00652B2C">
      <w:pPr>
        <w:ind w:right="-2"/>
        <w:jc w:val="center"/>
        <w:rPr>
          <w:b/>
          <w:sz w:val="12"/>
          <w:szCs w:val="12"/>
        </w:rPr>
      </w:pPr>
    </w:p>
    <w:p w:rsidR="00652B2C" w:rsidRDefault="00652B2C" w:rsidP="00652B2C">
      <w:pPr>
        <w:ind w:right="-2"/>
        <w:jc w:val="center"/>
        <w:rPr>
          <w:b/>
          <w:sz w:val="28"/>
        </w:rPr>
      </w:pPr>
      <w:r>
        <w:rPr>
          <w:b/>
          <w:sz w:val="28"/>
        </w:rPr>
        <w:t>МОСКОВСКОЙ   ОБЛАСТИ</w:t>
      </w:r>
    </w:p>
    <w:p w:rsidR="00652B2C" w:rsidRPr="0058294C" w:rsidRDefault="00652B2C" w:rsidP="00652B2C">
      <w:pPr>
        <w:ind w:right="-2" w:firstLine="1701"/>
        <w:jc w:val="center"/>
        <w:rPr>
          <w:sz w:val="16"/>
          <w:szCs w:val="16"/>
        </w:rPr>
      </w:pPr>
    </w:p>
    <w:p w:rsidR="00652B2C" w:rsidRDefault="00652B2C" w:rsidP="00652B2C">
      <w:pPr>
        <w:ind w:right="-2"/>
        <w:jc w:val="center"/>
        <w:rPr>
          <w:b/>
          <w:sz w:val="44"/>
        </w:rPr>
      </w:pPr>
      <w:r>
        <w:rPr>
          <w:b/>
          <w:sz w:val="44"/>
        </w:rPr>
        <w:t>ПОСТАНОВЛЕНИЕ</w:t>
      </w:r>
    </w:p>
    <w:p w:rsidR="00652B2C" w:rsidRPr="00537687" w:rsidRDefault="00652B2C" w:rsidP="00652B2C">
      <w:pPr>
        <w:ind w:right="-2"/>
        <w:jc w:val="center"/>
        <w:rPr>
          <w:b/>
        </w:rPr>
      </w:pPr>
    </w:p>
    <w:p w:rsidR="00652B2C" w:rsidRPr="00537687" w:rsidRDefault="00652B2C" w:rsidP="00652B2C">
      <w:pPr>
        <w:ind w:right="-2"/>
        <w:jc w:val="center"/>
        <w:rPr>
          <w:b/>
        </w:rPr>
      </w:pPr>
    </w:p>
    <w:p w:rsidR="00652B2C" w:rsidRDefault="00652B2C" w:rsidP="00652B2C">
      <w:pPr>
        <w:ind w:right="-2"/>
        <w:jc w:val="center"/>
        <w:outlineLvl w:val="0"/>
      </w:pPr>
      <w:r w:rsidRPr="00537687">
        <w:t xml:space="preserve"> _______</w:t>
      </w:r>
      <w:r w:rsidR="003605A6">
        <w:rPr>
          <w:u w:val="single"/>
        </w:rPr>
        <w:t>25.10.2019</w:t>
      </w:r>
      <w:r w:rsidRPr="00537687">
        <w:t>____ № _______</w:t>
      </w:r>
      <w:r w:rsidR="003605A6">
        <w:rPr>
          <w:u w:val="single"/>
        </w:rPr>
        <w:t>769/10</w:t>
      </w:r>
      <w:r w:rsidRPr="00537687">
        <w:t>______</w:t>
      </w:r>
    </w:p>
    <w:p w:rsidR="001C5AD2" w:rsidRDefault="001C5AD2" w:rsidP="00652B2C">
      <w:pPr>
        <w:outlineLvl w:val="0"/>
      </w:pPr>
    </w:p>
    <w:p w:rsidR="00652B2C" w:rsidRDefault="00652B2C" w:rsidP="00652B2C">
      <w:pPr>
        <w:outlineLvl w:val="0"/>
        <w:rPr>
          <w:rFonts w:cs="Times New Roman"/>
          <w:b/>
        </w:rPr>
      </w:pPr>
      <w:r>
        <w:tab/>
      </w:r>
      <w:r>
        <w:tab/>
      </w:r>
      <w:r>
        <w:tab/>
      </w:r>
      <w:r>
        <w:tab/>
      </w:r>
      <w:r>
        <w:tab/>
      </w:r>
      <w:r>
        <w:tab/>
      </w:r>
      <w:r>
        <w:tab/>
      </w:r>
    </w:p>
    <w:p w:rsidR="00652B2C" w:rsidRPr="00DD3DAA" w:rsidRDefault="00652B2C" w:rsidP="00652B2C">
      <w:pPr>
        <w:jc w:val="center"/>
        <w:rPr>
          <w:rFonts w:cs="Times New Roman"/>
        </w:rPr>
      </w:pPr>
      <w:r w:rsidRPr="00DD3DAA">
        <w:rPr>
          <w:rFonts w:cs="Times New Roman"/>
        </w:rPr>
        <w:t xml:space="preserve">О прогнозе социально-экономического развития </w:t>
      </w:r>
    </w:p>
    <w:p w:rsidR="00652B2C" w:rsidRPr="00DD3DAA" w:rsidRDefault="00652B2C" w:rsidP="00652B2C">
      <w:pPr>
        <w:jc w:val="center"/>
        <w:rPr>
          <w:rFonts w:cs="Times New Roman"/>
        </w:rPr>
      </w:pPr>
      <w:r w:rsidRPr="00DD3DAA">
        <w:rPr>
          <w:rFonts w:cs="Times New Roman"/>
        </w:rPr>
        <w:t>городского округа Электросталь Московской области на 20</w:t>
      </w:r>
      <w:r w:rsidR="00E159AD">
        <w:rPr>
          <w:rFonts w:cs="Times New Roman"/>
        </w:rPr>
        <w:t>20</w:t>
      </w:r>
      <w:r w:rsidRPr="00DD3DAA">
        <w:rPr>
          <w:rFonts w:cs="Times New Roman"/>
        </w:rPr>
        <w:t>-202</w:t>
      </w:r>
      <w:r w:rsidR="00E159AD">
        <w:rPr>
          <w:rFonts w:cs="Times New Roman"/>
        </w:rPr>
        <w:t>2</w:t>
      </w:r>
      <w:r w:rsidRPr="00DD3DAA">
        <w:rPr>
          <w:rFonts w:cs="Times New Roman"/>
        </w:rPr>
        <w:t xml:space="preserve"> годы</w:t>
      </w:r>
    </w:p>
    <w:p w:rsidR="00652B2C" w:rsidRPr="00DD3DAA" w:rsidRDefault="00652B2C" w:rsidP="00652B2C">
      <w:pPr>
        <w:tabs>
          <w:tab w:val="center" w:pos="4677"/>
        </w:tabs>
        <w:ind w:firstLine="540"/>
        <w:jc w:val="both"/>
        <w:rPr>
          <w:rFonts w:cs="Times New Roman"/>
        </w:rPr>
      </w:pPr>
    </w:p>
    <w:p w:rsidR="00652B2C" w:rsidRPr="00D70E8F" w:rsidRDefault="00652B2C" w:rsidP="00652B2C">
      <w:pPr>
        <w:autoSpaceDE w:val="0"/>
        <w:autoSpaceDN w:val="0"/>
        <w:adjustRightInd w:val="0"/>
        <w:ind w:firstLine="540"/>
        <w:jc w:val="both"/>
        <w:rPr>
          <w:rFonts w:cs="Times New Roman"/>
          <w:kern w:val="16"/>
        </w:rPr>
      </w:pPr>
      <w:r w:rsidRPr="00D70E8F">
        <w:rPr>
          <w:rFonts w:cs="Times New Roman"/>
        </w:rPr>
        <w:t xml:space="preserve">В соответствии с Бюджетным кодексом Российской Федерации,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 </w:t>
      </w:r>
      <w:r w:rsidRPr="00D70E8F">
        <w:rPr>
          <w:rFonts w:cs="Times New Roman"/>
          <w:kern w:val="16"/>
        </w:rPr>
        <w:t xml:space="preserve">Администрация </w:t>
      </w:r>
      <w:r w:rsidRPr="00D70E8F">
        <w:rPr>
          <w:rFonts w:cs="Times New Roman"/>
          <w:color w:val="000000"/>
        </w:rPr>
        <w:t>городского округа Электросталь Московской области ПОСТАНОВЛЯЕТ:</w:t>
      </w:r>
    </w:p>
    <w:p w:rsidR="00652B2C" w:rsidRPr="00D70E8F" w:rsidRDefault="00652B2C" w:rsidP="00652B2C">
      <w:pPr>
        <w:pStyle w:val="ConsPlusNormal"/>
        <w:numPr>
          <w:ilvl w:val="0"/>
          <w:numId w:val="1"/>
        </w:numPr>
        <w:ind w:left="0" w:firstLine="540"/>
        <w:jc w:val="both"/>
        <w:rPr>
          <w:rFonts w:ascii="Times New Roman" w:hAnsi="Times New Roman" w:cs="Times New Roman"/>
          <w:sz w:val="24"/>
          <w:szCs w:val="24"/>
        </w:rPr>
      </w:pPr>
      <w:r w:rsidRPr="00D70E8F">
        <w:rPr>
          <w:rFonts w:ascii="Times New Roman" w:hAnsi="Times New Roman" w:cs="Times New Roman"/>
          <w:sz w:val="24"/>
          <w:szCs w:val="24"/>
        </w:rPr>
        <w:t xml:space="preserve">Одобрить прогноз социально-экономического развития городского округа Электросталь Московской области на </w:t>
      </w:r>
      <w:r w:rsidR="00E159AD" w:rsidRPr="00D70E8F">
        <w:rPr>
          <w:rFonts w:ascii="Times New Roman" w:hAnsi="Times New Roman" w:cs="Times New Roman"/>
          <w:sz w:val="24"/>
          <w:szCs w:val="24"/>
        </w:rPr>
        <w:t xml:space="preserve">2020-2022 </w:t>
      </w:r>
      <w:r w:rsidRPr="00D70E8F">
        <w:rPr>
          <w:rFonts w:ascii="Times New Roman" w:hAnsi="Times New Roman" w:cs="Times New Roman"/>
          <w:sz w:val="24"/>
          <w:szCs w:val="24"/>
        </w:rPr>
        <w:t>годы согласно приложению к настоящему постановлению.</w:t>
      </w:r>
    </w:p>
    <w:p w:rsidR="00652B2C" w:rsidRPr="00D70E8F" w:rsidRDefault="00652B2C" w:rsidP="00652B2C">
      <w:pPr>
        <w:pStyle w:val="a3"/>
        <w:numPr>
          <w:ilvl w:val="0"/>
          <w:numId w:val="1"/>
        </w:numPr>
        <w:ind w:left="0" w:firstLine="540"/>
        <w:jc w:val="both"/>
      </w:pPr>
      <w:r w:rsidRPr="00D70E8F">
        <w:t>Финансовому управлению Администрации городского округа Электросталь Московской области составить проект бюджета городского округа Электр</w:t>
      </w:r>
      <w:r w:rsidR="00E159AD" w:rsidRPr="00D70E8F">
        <w:t>осталь Московской области на 2020</w:t>
      </w:r>
      <w:r w:rsidRPr="00D70E8F">
        <w:t xml:space="preserve"> год и на плановый период  202</w:t>
      </w:r>
      <w:r w:rsidR="00E159AD" w:rsidRPr="00D70E8F">
        <w:t>1</w:t>
      </w:r>
      <w:r w:rsidRPr="00D70E8F">
        <w:t xml:space="preserve"> и 202</w:t>
      </w:r>
      <w:r w:rsidR="00E159AD" w:rsidRPr="00D70E8F">
        <w:t>2</w:t>
      </w:r>
      <w:r w:rsidRPr="00D70E8F">
        <w:t xml:space="preserve"> годов на основе прогноза социально-экономического развития городского округа Электросталь Московской области на 20</w:t>
      </w:r>
      <w:r w:rsidR="00E159AD" w:rsidRPr="00D70E8F">
        <w:t>20</w:t>
      </w:r>
      <w:r w:rsidRPr="00D70E8F">
        <w:t>-202</w:t>
      </w:r>
      <w:r w:rsidR="00E159AD" w:rsidRPr="00D70E8F">
        <w:t>1</w:t>
      </w:r>
      <w:r w:rsidRPr="00D70E8F">
        <w:t xml:space="preserve"> годы.</w:t>
      </w:r>
    </w:p>
    <w:p w:rsidR="00652B2C" w:rsidRPr="00D70E8F" w:rsidRDefault="00652B2C" w:rsidP="00652B2C">
      <w:pPr>
        <w:pStyle w:val="a3"/>
        <w:numPr>
          <w:ilvl w:val="0"/>
          <w:numId w:val="1"/>
        </w:numPr>
        <w:ind w:left="0" w:firstLine="540"/>
        <w:jc w:val="both"/>
      </w:pPr>
      <w:r w:rsidRPr="00D70E8F">
        <w:t xml:space="preserve">Представить прогноз социально-экономического развития городского округа Электросталь Московской области  на </w:t>
      </w:r>
      <w:r w:rsidR="00E159AD" w:rsidRPr="00D70E8F">
        <w:t xml:space="preserve">2020-2022 </w:t>
      </w:r>
      <w:r w:rsidRPr="00D70E8F">
        <w:t>годы в установленном порядке Совету депутатов городского округа Электросталь Московской области одновременно с проектом решения Совета депутатов городского округа Электросталь Московской области «О бюджете городского округа Электросталь Московской области на 20</w:t>
      </w:r>
      <w:r w:rsidR="00225058" w:rsidRPr="00D70E8F">
        <w:t>20</w:t>
      </w:r>
      <w:r w:rsidRPr="00D70E8F">
        <w:t xml:space="preserve"> год и на плановый период  202</w:t>
      </w:r>
      <w:r w:rsidR="00E159AD" w:rsidRPr="00D70E8F">
        <w:t>1</w:t>
      </w:r>
      <w:r w:rsidRPr="00D70E8F">
        <w:t xml:space="preserve">  и 202</w:t>
      </w:r>
      <w:r w:rsidR="00E159AD" w:rsidRPr="00D70E8F">
        <w:t>2</w:t>
      </w:r>
      <w:r w:rsidRPr="00D70E8F">
        <w:t xml:space="preserve"> годов».</w:t>
      </w:r>
    </w:p>
    <w:p w:rsidR="00652B2C" w:rsidRPr="00D70E8F" w:rsidRDefault="00652B2C" w:rsidP="00652B2C">
      <w:pPr>
        <w:pStyle w:val="a3"/>
        <w:numPr>
          <w:ilvl w:val="0"/>
          <w:numId w:val="1"/>
        </w:numPr>
        <w:ind w:left="0" w:firstLine="540"/>
        <w:jc w:val="both"/>
      </w:pPr>
      <w:r w:rsidRPr="00D70E8F">
        <w:t xml:space="preserve">Опубликовать настоящее постановление в газете  «Официальный вестник» и разместить на сайте городского округа Электросталь Московской области в информационно-телекоммуникационной сети «Интернет» по адресу: </w:t>
      </w:r>
      <w:hyperlink r:id="rId9" w:history="1">
        <w:r w:rsidRPr="00D70E8F">
          <w:rPr>
            <w:rStyle w:val="af1"/>
            <w:color w:val="auto"/>
            <w:u w:val="none"/>
            <w:lang w:val="en-US"/>
          </w:rPr>
          <w:t>www</w:t>
        </w:r>
        <w:r w:rsidRPr="00D70E8F">
          <w:rPr>
            <w:rStyle w:val="af1"/>
            <w:color w:val="auto"/>
            <w:u w:val="none"/>
          </w:rPr>
          <w:t>.</w:t>
        </w:r>
        <w:r w:rsidRPr="00D70E8F">
          <w:rPr>
            <w:rStyle w:val="af1"/>
            <w:color w:val="auto"/>
            <w:u w:val="none"/>
            <w:lang w:val="en-US"/>
          </w:rPr>
          <w:t>electrostal</w:t>
        </w:r>
        <w:r w:rsidRPr="00D70E8F">
          <w:rPr>
            <w:rStyle w:val="af1"/>
            <w:color w:val="auto"/>
            <w:u w:val="none"/>
          </w:rPr>
          <w:t>.</w:t>
        </w:r>
        <w:r w:rsidRPr="00D70E8F">
          <w:rPr>
            <w:rStyle w:val="af1"/>
            <w:color w:val="auto"/>
            <w:u w:val="none"/>
            <w:lang w:val="en-US"/>
          </w:rPr>
          <w:t>ru</w:t>
        </w:r>
      </w:hyperlink>
      <w:r w:rsidRPr="00D70E8F">
        <w:t>.</w:t>
      </w:r>
    </w:p>
    <w:p w:rsidR="00652B2C" w:rsidRPr="00D70E8F" w:rsidRDefault="00652B2C" w:rsidP="00652B2C">
      <w:pPr>
        <w:pStyle w:val="a3"/>
        <w:numPr>
          <w:ilvl w:val="0"/>
          <w:numId w:val="1"/>
        </w:numPr>
        <w:ind w:left="0" w:firstLine="540"/>
        <w:jc w:val="both"/>
      </w:pPr>
      <w:r w:rsidRPr="00D70E8F">
        <w:t>Принять источником финансирования расходов по размещению в средствах массовой информации данного постановления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652B2C" w:rsidRPr="000955C9" w:rsidRDefault="00652B2C" w:rsidP="00652B2C">
      <w:pPr>
        <w:pStyle w:val="af"/>
        <w:rPr>
          <w:rFonts w:cs="Times New Roman"/>
        </w:rPr>
      </w:pPr>
    </w:p>
    <w:p w:rsidR="00652B2C" w:rsidRPr="000955C9" w:rsidRDefault="00652B2C" w:rsidP="00652B2C">
      <w:pPr>
        <w:pStyle w:val="af"/>
        <w:rPr>
          <w:rFonts w:cs="Times New Roman"/>
        </w:rPr>
      </w:pPr>
      <w:r w:rsidRPr="000955C9">
        <w:rPr>
          <w:rFonts w:cs="Times New Roman"/>
        </w:rPr>
        <w:t>Глава городского округа                                                                                      В.Я. Пекарев</w:t>
      </w:r>
    </w:p>
    <w:tbl>
      <w:tblPr>
        <w:tblpPr w:leftFromText="180" w:rightFromText="180" w:vertAnchor="page" w:horzAnchor="margin" w:tblpY="1231"/>
        <w:tblW w:w="0" w:type="auto"/>
        <w:tblLook w:val="04A0" w:firstRow="1" w:lastRow="0" w:firstColumn="1" w:lastColumn="0" w:noHBand="0" w:noVBand="1"/>
      </w:tblPr>
      <w:tblGrid>
        <w:gridCol w:w="4785"/>
        <w:gridCol w:w="4786"/>
      </w:tblGrid>
      <w:tr w:rsidR="00652B2C" w:rsidTr="00652B2C">
        <w:tc>
          <w:tcPr>
            <w:tcW w:w="4785" w:type="dxa"/>
          </w:tcPr>
          <w:p w:rsidR="00652B2C" w:rsidRDefault="00652B2C" w:rsidP="00652B2C"/>
          <w:p w:rsidR="00652B2C" w:rsidRDefault="00652B2C" w:rsidP="00652B2C"/>
        </w:tc>
        <w:tc>
          <w:tcPr>
            <w:tcW w:w="4786" w:type="dxa"/>
          </w:tcPr>
          <w:p w:rsidR="00652B2C" w:rsidRPr="00605012" w:rsidRDefault="00652B2C" w:rsidP="00652B2C">
            <w:r w:rsidRPr="00605012">
              <w:t xml:space="preserve">Приложение </w:t>
            </w:r>
          </w:p>
          <w:p w:rsidR="00652B2C" w:rsidRPr="00605012" w:rsidRDefault="00652B2C" w:rsidP="00652B2C">
            <w:r w:rsidRPr="00605012">
              <w:t>к постановлению Администрации  городского округа Электросталь Московской области</w:t>
            </w:r>
          </w:p>
          <w:p w:rsidR="00652B2C" w:rsidRDefault="00652B2C" w:rsidP="003605A6">
            <w:r>
              <w:t>от ____</w:t>
            </w:r>
            <w:r w:rsidRPr="00605012">
              <w:t>__</w:t>
            </w:r>
            <w:r w:rsidR="003605A6">
              <w:rPr>
                <w:u w:val="single"/>
              </w:rPr>
              <w:t>25.10.2019</w:t>
            </w:r>
            <w:r w:rsidRPr="00605012">
              <w:t>______№__</w:t>
            </w:r>
            <w:r w:rsidR="003605A6">
              <w:rPr>
                <w:u w:val="single"/>
              </w:rPr>
              <w:t>769/10</w:t>
            </w:r>
            <w:bookmarkStart w:id="0" w:name="_GoBack"/>
            <w:bookmarkEnd w:id="0"/>
            <w:r w:rsidRPr="00605012">
              <w:t>____</w:t>
            </w:r>
          </w:p>
        </w:tc>
      </w:tr>
    </w:tbl>
    <w:p w:rsidR="001E6D8E" w:rsidRPr="00537687" w:rsidRDefault="001E6D8E" w:rsidP="001E6D8E">
      <w:pPr>
        <w:ind w:right="-2" w:firstLine="1701"/>
        <w:rPr>
          <w:b/>
        </w:rPr>
      </w:pPr>
      <w:r w:rsidRPr="00537687">
        <w:tab/>
      </w:r>
      <w:r w:rsidRPr="00537687">
        <w:tab/>
      </w:r>
    </w:p>
    <w:p w:rsidR="00FE4282" w:rsidRDefault="00FE4282" w:rsidP="00FE4282">
      <w:pPr>
        <w:rPr>
          <w:rFonts w:cs="Times New Roman"/>
        </w:rPr>
      </w:pPr>
    </w:p>
    <w:p w:rsidR="00FE4282" w:rsidRDefault="00FE4282" w:rsidP="00FE4282">
      <w:pPr>
        <w:jc w:val="center"/>
        <w:rPr>
          <w:rFonts w:cs="Times New Roman"/>
          <w:b/>
        </w:rPr>
      </w:pPr>
      <w:r>
        <w:rPr>
          <w:rFonts w:cs="Times New Roman"/>
          <w:b/>
        </w:rPr>
        <w:t>Пояснительная записка к п</w:t>
      </w:r>
      <w:r w:rsidRPr="00C412A0">
        <w:rPr>
          <w:rFonts w:cs="Times New Roman"/>
          <w:b/>
        </w:rPr>
        <w:t>рогноз</w:t>
      </w:r>
      <w:r>
        <w:rPr>
          <w:rFonts w:cs="Times New Roman"/>
          <w:b/>
        </w:rPr>
        <w:t>у</w:t>
      </w:r>
      <w:r w:rsidRPr="00C412A0">
        <w:rPr>
          <w:rFonts w:cs="Times New Roman"/>
          <w:b/>
        </w:rPr>
        <w:t xml:space="preserve"> социально-экономического развития </w:t>
      </w:r>
    </w:p>
    <w:p w:rsidR="00FE4282" w:rsidRDefault="00FE4282" w:rsidP="00FE4282">
      <w:pPr>
        <w:jc w:val="center"/>
        <w:rPr>
          <w:rFonts w:cs="Times New Roman"/>
          <w:b/>
        </w:rPr>
      </w:pPr>
      <w:r w:rsidRPr="00C412A0">
        <w:rPr>
          <w:rFonts w:cs="Times New Roman"/>
          <w:b/>
        </w:rPr>
        <w:t xml:space="preserve">городского округа Электросталь </w:t>
      </w:r>
      <w:r>
        <w:rPr>
          <w:rFonts w:cs="Times New Roman"/>
          <w:b/>
        </w:rPr>
        <w:t>М</w:t>
      </w:r>
      <w:r w:rsidRPr="00C412A0">
        <w:rPr>
          <w:rFonts w:cs="Times New Roman"/>
          <w:b/>
        </w:rPr>
        <w:t>осковской области на 20</w:t>
      </w:r>
      <w:r w:rsidR="00E159AD">
        <w:rPr>
          <w:rFonts w:cs="Times New Roman"/>
          <w:b/>
        </w:rPr>
        <w:t>20</w:t>
      </w:r>
      <w:r w:rsidR="00E80A7D">
        <w:rPr>
          <w:rFonts w:cs="Times New Roman"/>
          <w:b/>
        </w:rPr>
        <w:t>-202</w:t>
      </w:r>
      <w:r w:rsidR="00E159AD">
        <w:rPr>
          <w:rFonts w:cs="Times New Roman"/>
          <w:b/>
        </w:rPr>
        <w:t>2</w:t>
      </w:r>
      <w:r w:rsidRPr="00C412A0">
        <w:rPr>
          <w:rFonts w:cs="Times New Roman"/>
          <w:b/>
        </w:rPr>
        <w:t xml:space="preserve"> годы</w:t>
      </w:r>
    </w:p>
    <w:p w:rsidR="00FE4282" w:rsidRDefault="00FE4282" w:rsidP="00FE4282">
      <w:pPr>
        <w:jc w:val="center"/>
        <w:rPr>
          <w:rFonts w:cs="Times New Roman"/>
          <w:b/>
        </w:rPr>
      </w:pPr>
    </w:p>
    <w:p w:rsidR="00FE4282" w:rsidRDefault="00FE4282" w:rsidP="00E80A7D">
      <w:pPr>
        <w:ind w:firstLine="567"/>
        <w:jc w:val="both"/>
        <w:rPr>
          <w:rFonts w:cs="Times New Roman"/>
        </w:rPr>
      </w:pPr>
      <w:r w:rsidRPr="00A634BE">
        <w:rPr>
          <w:rFonts w:cs="Times New Roman"/>
        </w:rPr>
        <w:t>Прогноз социально-экономического развития городского округа Электросталь Московской области разработан в соответствии с Бюджетным кодексом Российской Федерации, постановлением Правительства Московской области от 24.06.2016 №488/18 «О порядке разработки, корректировки, осуществления мониторинга и контроля реализации прогноза социально-экономического развития Московской области на среднесрочный период и признании утратившими силу некоторых постановлений правительства Московской области», постановлением Администрации городского округа Электросталь Московской области от 24.05.2017 №322/5 «Об утверждении Порядка разработки, корректировки, осуществления мониторинга и контроля реализации прогноза социально-экономического развития городского округа Электросталь Московской области на среднесрочный период»</w:t>
      </w:r>
      <w:r w:rsidR="00563433">
        <w:rPr>
          <w:rFonts w:cs="Times New Roman"/>
        </w:rPr>
        <w:t xml:space="preserve"> (далее – Порядок)</w:t>
      </w:r>
      <w:r w:rsidRPr="00A634BE">
        <w:rPr>
          <w:rFonts w:cs="Times New Roman"/>
        </w:rPr>
        <w:t>.</w:t>
      </w:r>
    </w:p>
    <w:p w:rsidR="00E80A7D" w:rsidRPr="00A319E9" w:rsidRDefault="00E80A7D" w:rsidP="00E43CA2">
      <w:pPr>
        <w:pStyle w:val="20"/>
        <w:tabs>
          <w:tab w:val="left" w:pos="4320"/>
        </w:tabs>
        <w:spacing w:after="0" w:line="240" w:lineRule="auto"/>
        <w:ind w:left="0" w:firstLine="567"/>
        <w:jc w:val="both"/>
      </w:pPr>
      <w:r w:rsidRPr="00A319E9">
        <w:t>В соответствии с Порядком в разработке прогноза  в пределах своей компетенции участвовали структурные подразделения Администрации городского округа Электросталь Московской области и подведомственные учреждения городского округа Электросталь Московской области, созданные для выполнения полномочий городского округа Электросталь Московской области в прогнозируемой сфере деятельности.</w:t>
      </w:r>
    </w:p>
    <w:p w:rsidR="00E80A7D" w:rsidRPr="00A319E9" w:rsidRDefault="00E80A7D" w:rsidP="00E43CA2">
      <w:pPr>
        <w:pStyle w:val="20"/>
        <w:tabs>
          <w:tab w:val="left" w:pos="4320"/>
        </w:tabs>
        <w:spacing w:after="0" w:line="240" w:lineRule="auto"/>
        <w:ind w:left="0" w:firstLine="567"/>
        <w:jc w:val="both"/>
      </w:pPr>
      <w:r w:rsidRPr="00A319E9">
        <w:t xml:space="preserve">Разработка прогноза проведена в соответствии с Системой показателей социально-экономического развития Московской области, утвержденной постановлением Правительства Московской </w:t>
      </w:r>
      <w:r>
        <w:t xml:space="preserve">области от 04.06.2009 № 430/20 </w:t>
      </w:r>
      <w:r w:rsidRPr="00A319E9">
        <w:t>«О Системе показателей социально-экономического развития Московской области».</w:t>
      </w:r>
    </w:p>
    <w:p w:rsidR="00E80A7D" w:rsidRPr="00A319E9" w:rsidRDefault="00E80A7D" w:rsidP="00E80A7D">
      <w:pPr>
        <w:pStyle w:val="20"/>
        <w:tabs>
          <w:tab w:val="left" w:pos="4320"/>
        </w:tabs>
        <w:spacing w:after="0" w:line="240" w:lineRule="auto"/>
        <w:ind w:left="0" w:firstLine="567"/>
        <w:jc w:val="both"/>
      </w:pPr>
      <w:r w:rsidRPr="00A319E9">
        <w:t>Прогноз разработан на три года на основе анализа тенденций развития экономики и социальной сферы городского округа Электросталь Московской области, на ба</w:t>
      </w:r>
      <w:r w:rsidR="00563433">
        <w:t>зе статистических данных за 201</w:t>
      </w:r>
      <w:r w:rsidR="00E15C26">
        <w:t>7</w:t>
      </w:r>
      <w:r w:rsidRPr="00A319E9">
        <w:t xml:space="preserve"> и 201</w:t>
      </w:r>
      <w:r w:rsidR="00E15C26">
        <w:t>8</w:t>
      </w:r>
      <w:r w:rsidRPr="00A319E9">
        <w:t xml:space="preserve"> годы, а также итогов социально-экономического развития экономики и социальной сферы городского округа Электросталь Московской области в январе-июне 201</w:t>
      </w:r>
      <w:r w:rsidR="00E15C26">
        <w:t>9</w:t>
      </w:r>
      <w:r w:rsidRPr="00A319E9">
        <w:t xml:space="preserve"> года. При этом учтены сценарные условия функционирования экономики Российской Федерации, применены индексы-дефляторы цен по видам экономической деятельности и индексы потребительских цен, рекомендованные Министерством экономического развития Российской Федерации. </w:t>
      </w:r>
    </w:p>
    <w:p w:rsidR="00563433" w:rsidRDefault="00FE428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Разработка основных параметров развития экономики проведена по двум вариантам</w:t>
      </w:r>
      <w:r w:rsidR="00E43CA2" w:rsidRPr="00E43CA2">
        <w:rPr>
          <w:rFonts w:ascii="Times New Roman" w:hAnsi="Times New Roman" w:cs="Times New Roman"/>
          <w:sz w:val="24"/>
          <w:szCs w:val="24"/>
        </w:rPr>
        <w:t>:</w:t>
      </w:r>
    </w:p>
    <w:p w:rsidR="00E43CA2" w:rsidRPr="00E43CA2" w:rsidRDefault="00E43CA2" w:rsidP="00E43CA2">
      <w:pPr>
        <w:pStyle w:val="ConsPlusNormal"/>
        <w:ind w:firstLine="709"/>
        <w:jc w:val="both"/>
        <w:rPr>
          <w:rFonts w:ascii="Times New Roman" w:hAnsi="Times New Roman" w:cs="Times New Roman"/>
          <w:sz w:val="24"/>
          <w:szCs w:val="24"/>
        </w:rPr>
      </w:pPr>
      <w:r w:rsidRPr="00E43CA2">
        <w:rPr>
          <w:rFonts w:ascii="Times New Roman" w:hAnsi="Times New Roman" w:cs="Times New Roman"/>
          <w:sz w:val="24"/>
          <w:szCs w:val="24"/>
        </w:rPr>
        <w:t xml:space="preserve"> вариант 1 (</w:t>
      </w:r>
      <w:r w:rsidR="00B31EDC">
        <w:rPr>
          <w:rFonts w:ascii="Times New Roman" w:hAnsi="Times New Roman" w:cs="Times New Roman"/>
          <w:sz w:val="24"/>
          <w:szCs w:val="24"/>
        </w:rPr>
        <w:t>базовый</w:t>
      </w:r>
      <w:r w:rsidRPr="00E43CA2">
        <w:rPr>
          <w:rFonts w:ascii="Times New Roman" w:hAnsi="Times New Roman" w:cs="Times New Roman"/>
          <w:sz w:val="24"/>
          <w:szCs w:val="24"/>
        </w:rPr>
        <w:t xml:space="preserve">) - предполагает развитие с сохранением в прогнозируемом периоде тенденций развития экономики, консервативную инвестиционную политику частных компаний, ограниченные возможности бюджета </w:t>
      </w:r>
      <w:r>
        <w:rPr>
          <w:rFonts w:ascii="Times New Roman" w:hAnsi="Times New Roman" w:cs="Times New Roman"/>
          <w:sz w:val="24"/>
          <w:szCs w:val="24"/>
        </w:rPr>
        <w:t>городского округа Электросталь Московской области</w:t>
      </w:r>
      <w:r w:rsidRPr="00E43CA2">
        <w:rPr>
          <w:rFonts w:ascii="Times New Roman" w:hAnsi="Times New Roman" w:cs="Times New Roman"/>
          <w:sz w:val="24"/>
          <w:szCs w:val="24"/>
        </w:rPr>
        <w:t xml:space="preserve">, </w:t>
      </w:r>
      <w:r>
        <w:rPr>
          <w:rFonts w:ascii="Times New Roman" w:hAnsi="Times New Roman" w:cs="Times New Roman"/>
          <w:sz w:val="24"/>
          <w:szCs w:val="24"/>
        </w:rPr>
        <w:t>слабый</w:t>
      </w:r>
      <w:r w:rsidRPr="00E43CA2">
        <w:rPr>
          <w:rFonts w:ascii="Times New Roman" w:hAnsi="Times New Roman" w:cs="Times New Roman"/>
          <w:sz w:val="24"/>
          <w:szCs w:val="24"/>
        </w:rPr>
        <w:t xml:space="preserve"> рост потребительского спроса;</w:t>
      </w:r>
    </w:p>
    <w:p w:rsidR="00E43CA2" w:rsidRPr="00E43CA2" w:rsidRDefault="00E43CA2" w:rsidP="00E43CA2">
      <w:pPr>
        <w:pStyle w:val="ConsPlusNormal"/>
        <w:ind w:firstLine="540"/>
        <w:jc w:val="both"/>
        <w:rPr>
          <w:rFonts w:ascii="Times New Roman" w:hAnsi="Times New Roman" w:cs="Times New Roman"/>
          <w:sz w:val="24"/>
          <w:szCs w:val="24"/>
        </w:rPr>
      </w:pPr>
      <w:r w:rsidRPr="00E43CA2">
        <w:rPr>
          <w:rFonts w:ascii="Times New Roman" w:hAnsi="Times New Roman" w:cs="Times New Roman"/>
          <w:sz w:val="24"/>
          <w:szCs w:val="24"/>
        </w:rPr>
        <w:t>вариант 2 (</w:t>
      </w:r>
      <w:r w:rsidR="00B31EDC">
        <w:rPr>
          <w:rFonts w:ascii="Times New Roman" w:hAnsi="Times New Roman" w:cs="Times New Roman"/>
          <w:sz w:val="24"/>
          <w:szCs w:val="24"/>
        </w:rPr>
        <w:t>целевой</w:t>
      </w:r>
      <w:r w:rsidRPr="00E43CA2">
        <w:rPr>
          <w:rFonts w:ascii="Times New Roman" w:hAnsi="Times New Roman" w:cs="Times New Roman"/>
          <w:sz w:val="24"/>
          <w:szCs w:val="24"/>
        </w:rPr>
        <w:t>) - вариант оживления и роста в экономике вследствие расширения инвестиционных программ хозяйствующих субъектов, поддержки государством внутреннего спроса и предложения, расширения банковского кредита.</w:t>
      </w:r>
    </w:p>
    <w:p w:rsidR="004E12D9" w:rsidRDefault="004E12D9" w:rsidP="00FE4282">
      <w:pPr>
        <w:ind w:firstLine="567"/>
        <w:jc w:val="both"/>
        <w:rPr>
          <w:rFonts w:ascii="Tahoma" w:hAnsi="Tahoma" w:cs="Tahoma"/>
          <w:b/>
          <w:bCs/>
          <w:color w:val="333333"/>
          <w:sz w:val="18"/>
          <w:szCs w:val="18"/>
        </w:rPr>
      </w:pPr>
    </w:p>
    <w:p w:rsidR="00563433" w:rsidRDefault="00563433" w:rsidP="00FE4282">
      <w:pPr>
        <w:ind w:firstLine="567"/>
        <w:jc w:val="both"/>
        <w:rPr>
          <w:rFonts w:cs="Times New Roman"/>
          <w:b/>
          <w:bCs/>
          <w:color w:val="333333"/>
        </w:rPr>
      </w:pPr>
    </w:p>
    <w:p w:rsidR="00FE4282" w:rsidRDefault="004E12D9" w:rsidP="00FE4282">
      <w:pPr>
        <w:ind w:firstLine="567"/>
        <w:jc w:val="both"/>
        <w:rPr>
          <w:rFonts w:cs="Times New Roman"/>
          <w:b/>
          <w:bCs/>
          <w:color w:val="333333"/>
        </w:rPr>
      </w:pPr>
      <w:r w:rsidRPr="00B647D3">
        <w:rPr>
          <w:rFonts w:cs="Times New Roman"/>
          <w:b/>
          <w:bCs/>
          <w:color w:val="333333"/>
        </w:rPr>
        <w:t>Краткая характеристика муниципального образования</w:t>
      </w:r>
    </w:p>
    <w:p w:rsidR="004E12D9" w:rsidRDefault="00B647D3" w:rsidP="00FE4282">
      <w:pPr>
        <w:ind w:firstLine="567"/>
        <w:jc w:val="both"/>
        <w:rPr>
          <w:rFonts w:cs="Times New Roman"/>
        </w:rPr>
      </w:pPr>
      <w:r w:rsidRPr="00B647D3">
        <w:rPr>
          <w:rFonts w:cs="Times New Roman"/>
        </w:rPr>
        <w:t xml:space="preserve">Город Электросталь основан в 1916 году (до 1928 года – посёлок Затишье). Создание в начале 20-го века крупным российским промышленником Н.А. Второвым уникального </w:t>
      </w:r>
      <w:r w:rsidRPr="00B647D3">
        <w:rPr>
          <w:rFonts w:cs="Times New Roman"/>
        </w:rPr>
        <w:lastRenderedPageBreak/>
        <w:t>завода по производству высококачественной стали в электрических печах и завода по производству боеприпасов превратили урочище Затишье в рабочий посёлок, а с 26 декабря 1938 года – в город Электросталь. Сегодня это крупный промышленный, культурный и спортивный центр. Г.о. Электросталь расположен в 58 км к востоку от центра г. Москвы. Площадь территории городского округа</w:t>
      </w:r>
      <w:r w:rsidR="00E15C26">
        <w:rPr>
          <w:rFonts w:cs="Times New Roman"/>
        </w:rPr>
        <w:t>, с</w:t>
      </w:r>
      <w:r w:rsidRPr="00B647D3">
        <w:rPr>
          <w:rFonts w:cs="Times New Roman"/>
        </w:rPr>
        <w:t xml:space="preserve"> учетом присоединения с 01.01.2018  с.п.Степановское</w:t>
      </w:r>
      <w:r w:rsidR="00E15C26">
        <w:rPr>
          <w:rFonts w:cs="Times New Roman"/>
        </w:rPr>
        <w:t>,</w:t>
      </w:r>
      <w:r w:rsidRPr="00B647D3">
        <w:rPr>
          <w:rFonts w:cs="Times New Roman"/>
        </w:rPr>
        <w:t xml:space="preserve"> составила 13 537 га. </w:t>
      </w:r>
      <w:r w:rsidR="00E15C26">
        <w:rPr>
          <w:rFonts w:cs="Times New Roman"/>
        </w:rPr>
        <w:t>В</w:t>
      </w:r>
      <w:r w:rsidRPr="00B647D3">
        <w:rPr>
          <w:rFonts w:cs="Times New Roman"/>
        </w:rPr>
        <w:t xml:space="preserve"> состав городского округа помимо города Электросталь в</w:t>
      </w:r>
      <w:r w:rsidR="00E15C26">
        <w:rPr>
          <w:rFonts w:cs="Times New Roman"/>
        </w:rPr>
        <w:t>ходят</w:t>
      </w:r>
      <w:r w:rsidRPr="00B647D3">
        <w:rPr>
          <w:rFonts w:cs="Times New Roman"/>
        </w:rPr>
        <w:t xml:space="preserve"> следующие населенные пункты:  деревня Бабеево; деревня Всеволодово; поселок Елизаветино; деревня Есино; село Иванисово; поселок Новые Дома; деревня Пушкино; поселок  Случайный; деревня Степаново; поселок Фрязево.</w:t>
      </w:r>
    </w:p>
    <w:p w:rsidR="00177DD0" w:rsidRDefault="00177DD0" w:rsidP="00177DD0">
      <w:pPr>
        <w:ind w:firstLine="567"/>
        <w:jc w:val="both"/>
        <w:rPr>
          <w:rFonts w:cs="Times New Roman"/>
          <w:b/>
          <w:bCs/>
          <w:i/>
          <w:color w:val="333333"/>
        </w:rPr>
      </w:pPr>
    </w:p>
    <w:p w:rsidR="00177DD0" w:rsidRPr="00177DD0" w:rsidRDefault="00177DD0" w:rsidP="00177DD0">
      <w:pPr>
        <w:ind w:firstLine="567"/>
        <w:jc w:val="both"/>
        <w:rPr>
          <w:rFonts w:cs="Times New Roman"/>
          <w:b/>
          <w:bCs/>
          <w:i/>
          <w:color w:val="333333"/>
        </w:rPr>
      </w:pPr>
      <w:r w:rsidRPr="00177DD0">
        <w:rPr>
          <w:rFonts w:cs="Times New Roman"/>
          <w:b/>
          <w:bCs/>
          <w:i/>
          <w:color w:val="333333"/>
        </w:rPr>
        <w:t>Отрасли экономики, являющиеся драйверами развития муниципального образования</w:t>
      </w:r>
      <w:r>
        <w:rPr>
          <w:rFonts w:cs="Times New Roman"/>
          <w:b/>
          <w:bCs/>
          <w:i/>
          <w:color w:val="333333"/>
        </w:rPr>
        <w:t>.</w:t>
      </w:r>
    </w:p>
    <w:p w:rsidR="00503F06" w:rsidRDefault="00EC13A5" w:rsidP="00FE4282">
      <w:pPr>
        <w:ind w:firstLine="567"/>
        <w:jc w:val="both"/>
        <w:rPr>
          <w:rFonts w:cs="Times New Roman"/>
        </w:rPr>
      </w:pPr>
      <w:r w:rsidRPr="00EC13A5">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 Малый бизнес в городском округе Электросталь представлен 195 малыми и средними предприятиями и 5015 микропредприятиями. 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 </w:t>
      </w:r>
    </w:p>
    <w:p w:rsidR="00503F06" w:rsidRDefault="00EC13A5" w:rsidP="00FE4282">
      <w:pPr>
        <w:ind w:firstLine="567"/>
        <w:jc w:val="both"/>
        <w:rPr>
          <w:rFonts w:cs="Times New Roman"/>
        </w:rPr>
      </w:pPr>
      <w:r w:rsidRPr="00EC13A5">
        <w:rPr>
          <w:rFonts w:cs="Times New Roman"/>
        </w:rPr>
        <w:t xml:space="preserve">– ПАО «Машиностроительный завод», входит в структуру Топливной компании «ТВЭЛ» Госкорпорации «Росатом», вид деятельности: производство ядерного топлива; </w:t>
      </w:r>
    </w:p>
    <w:p w:rsidR="00503F06" w:rsidRDefault="00EC13A5" w:rsidP="00FE4282">
      <w:pPr>
        <w:ind w:firstLine="567"/>
        <w:jc w:val="both"/>
        <w:rPr>
          <w:rFonts w:cs="Times New Roman"/>
        </w:rPr>
      </w:pPr>
      <w:r w:rsidRPr="00EC13A5">
        <w:rPr>
          <w:rFonts w:cs="Times New Roman"/>
        </w:rPr>
        <w:t xml:space="preserve"> – ОАО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503F06" w:rsidRDefault="00EC13A5" w:rsidP="00FE4282">
      <w:pPr>
        <w:ind w:firstLine="567"/>
        <w:jc w:val="both"/>
        <w:rPr>
          <w:rFonts w:cs="Times New Roman"/>
        </w:rPr>
      </w:pPr>
      <w:r w:rsidRPr="00EC13A5">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w:t>
      </w:r>
      <w:r w:rsidR="00503F06">
        <w:rPr>
          <w:rFonts w:cs="Times New Roman"/>
        </w:rPr>
        <w:t>металлургической промышленности.</w:t>
      </w:r>
    </w:p>
    <w:p w:rsidR="00503F06" w:rsidRDefault="00EC13A5" w:rsidP="00FE4282">
      <w:pPr>
        <w:ind w:firstLine="567"/>
        <w:jc w:val="both"/>
        <w:rPr>
          <w:rFonts w:cs="Times New Roman"/>
        </w:rPr>
      </w:pPr>
      <w:r w:rsidRPr="00EC13A5">
        <w:rPr>
          <w:rFonts w:cs="Times New Roman"/>
        </w:rPr>
        <w:t xml:space="preserve"> Кроме них, на территории городского округа осуществляют деятельность крупные предприятия: </w:t>
      </w:r>
    </w:p>
    <w:p w:rsidR="00503F06" w:rsidRDefault="00EC13A5" w:rsidP="00FE4282">
      <w:pPr>
        <w:ind w:firstLine="567"/>
        <w:jc w:val="both"/>
        <w:rPr>
          <w:rFonts w:cs="Times New Roman"/>
        </w:rPr>
      </w:pPr>
      <w:r w:rsidRPr="00EC13A5">
        <w:rPr>
          <w:rFonts w:cs="Times New Roman"/>
        </w:rPr>
        <w:t xml:space="preserve">– ОАО «Электростальский химико-механический завод им. Н.Д.Зелинского», ранее входивший в корпорацию «Спецзащита»,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 </w:t>
      </w:r>
    </w:p>
    <w:p w:rsidR="00503F06" w:rsidRDefault="00EC13A5" w:rsidP="00FE4282">
      <w:pPr>
        <w:ind w:firstLine="567"/>
        <w:jc w:val="both"/>
        <w:rPr>
          <w:rFonts w:cs="Times New Roman"/>
        </w:rPr>
      </w:pPr>
      <w:r w:rsidRPr="00EC13A5">
        <w:rPr>
          <w:rFonts w:cs="Times New Roman"/>
        </w:rPr>
        <w:t xml:space="preserve">– АО «НПО «Неорганика», вид деятельности: научные исследования и разработки в области естественных и технических наук; </w:t>
      </w:r>
    </w:p>
    <w:p w:rsidR="00B647D3" w:rsidRDefault="00EC13A5" w:rsidP="00FE4282">
      <w:pPr>
        <w:ind w:firstLine="567"/>
        <w:jc w:val="both"/>
        <w:rPr>
          <w:rFonts w:cs="Times New Roman"/>
        </w:rPr>
      </w:pPr>
      <w:r w:rsidRPr="00EC13A5">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177DD0" w:rsidRDefault="00177DD0" w:rsidP="00FE4282">
      <w:pPr>
        <w:ind w:firstLine="567"/>
        <w:jc w:val="both"/>
        <w:rPr>
          <w:rFonts w:cs="Times New Roman"/>
        </w:rPr>
      </w:pPr>
    </w:p>
    <w:p w:rsidR="00177DD0" w:rsidRPr="00177DD0" w:rsidRDefault="00177DD0" w:rsidP="00FE4282">
      <w:pPr>
        <w:ind w:firstLine="567"/>
        <w:jc w:val="both"/>
        <w:rPr>
          <w:rFonts w:cs="Times New Roman"/>
          <w:b/>
          <w:i/>
        </w:rPr>
      </w:pPr>
      <w:r w:rsidRPr="00177DD0">
        <w:rPr>
          <w:rFonts w:cs="Times New Roman"/>
          <w:b/>
          <w:i/>
        </w:rPr>
        <w:t>Перечень основных проблем</w:t>
      </w:r>
      <w:r w:rsidR="002F5655">
        <w:rPr>
          <w:rFonts w:cs="Times New Roman"/>
          <w:b/>
          <w:i/>
        </w:rPr>
        <w:t>,</w:t>
      </w:r>
      <w:r w:rsidRPr="00177DD0">
        <w:rPr>
          <w:rFonts w:cs="Times New Roman"/>
          <w:b/>
          <w:i/>
        </w:rPr>
        <w:t xml:space="preserve"> сдерживающих социально-экономическое развитие</w:t>
      </w:r>
      <w:r>
        <w:rPr>
          <w:rFonts w:cs="Times New Roman"/>
          <w:b/>
          <w:i/>
        </w:rPr>
        <w:t>.</w:t>
      </w:r>
    </w:p>
    <w:p w:rsidR="00EC13A5" w:rsidRDefault="00EC13A5" w:rsidP="00FE4282">
      <w:pPr>
        <w:ind w:firstLine="567"/>
        <w:jc w:val="both"/>
        <w:rPr>
          <w:rFonts w:cs="Times New Roman"/>
        </w:rPr>
      </w:pPr>
      <w:r w:rsidRPr="00EC13A5">
        <w:rPr>
          <w:rFonts w:cs="Times New Roman"/>
        </w:rPr>
        <w:t xml:space="preserve">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w:t>
      </w:r>
      <w:r w:rsidRPr="00EC13A5">
        <w:rPr>
          <w:rFonts w:cs="Times New Roman"/>
        </w:rPr>
        <w:lastRenderedPageBreak/>
        <w:t>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 Наряду с этим, одной из особенностей городского округа Электросталь является размещение в черте города большого количества производственных территорий. К промышленным площадкам организовано движение грузового автотранспорта, необходимого для подвоза сырья и отправки готовой продукции, но основной грузооборот промышленной площадки осуществляется железнодорожным транспортом. Также по общей сети улиц и дорог допускается движение грузового транспорта, обеспечивающего обслуживание коммунального хозяйства и торгово-розничную сеть города. Одной из проблем функционирования транспортной инфраструктуры города является прохождение транзитного транспорта по участку федеральной автомобильной дороги А-107 ММК (Московское малое кольцо) в границах города. Предусмотренная проектом генерального плана проектная схема внешних автодорог и городских магистралей позволяет вывести транзитный транспорт за пределы города за счет строительства Центральной кольцевой автомобильной дороги, западного обхода городов Электросталь, Ногинск и платной автомобильной дороги «МКАД-Ногинск-Орехово-Зуево» и, таким образом, решить проблему прохождения транзитного транспорта в черте города. К настоящему времени не начато строительство указанных выше дорог, поэтому транзитный проезд через городскую территорию остается нерешенным.</w:t>
      </w:r>
    </w:p>
    <w:p w:rsidR="00EC13A5" w:rsidRPr="00A634BE" w:rsidRDefault="00EC13A5" w:rsidP="00FE4282">
      <w:pPr>
        <w:ind w:firstLine="567"/>
        <w:jc w:val="both"/>
        <w:rPr>
          <w:rFonts w:cs="Times New Roman"/>
        </w:rPr>
      </w:pPr>
    </w:p>
    <w:p w:rsidR="00FE4282" w:rsidRPr="00B647D3" w:rsidRDefault="00FE4282" w:rsidP="00FE4282">
      <w:pPr>
        <w:pStyle w:val="3"/>
        <w:spacing w:after="0"/>
        <w:ind w:left="0" w:firstLine="567"/>
        <w:jc w:val="both"/>
        <w:rPr>
          <w:b/>
          <w:sz w:val="24"/>
          <w:szCs w:val="24"/>
        </w:rPr>
      </w:pPr>
      <w:r w:rsidRPr="00B647D3">
        <w:rPr>
          <w:b/>
          <w:sz w:val="24"/>
          <w:szCs w:val="24"/>
        </w:rPr>
        <w:t>Демографические показатели.</w:t>
      </w:r>
    </w:p>
    <w:p w:rsidR="00B647D3" w:rsidRDefault="00EC13A5" w:rsidP="00EC13A5">
      <w:pPr>
        <w:ind w:firstLine="567"/>
        <w:jc w:val="both"/>
        <w:rPr>
          <w:rFonts w:cs="Times New Roman"/>
        </w:rPr>
      </w:pPr>
      <w:r w:rsidRPr="00EC13A5">
        <w:rPr>
          <w:rFonts w:cs="Times New Roman"/>
        </w:rPr>
        <w:t xml:space="preserve">Численность населения городского округа Электросталь по состоянию на 01.01.2018 составляла 166 234 человек, в том числе: городское население - 158 226 человек, население сельских населенных пунктов, находящиеся в границе городского округа – </w:t>
      </w:r>
      <w:r w:rsidR="00D37CEF">
        <w:rPr>
          <w:rFonts w:cs="Times New Roman"/>
        </w:rPr>
        <w:t xml:space="preserve">              </w:t>
      </w:r>
      <w:r w:rsidRPr="00EC13A5">
        <w:rPr>
          <w:rFonts w:cs="Times New Roman"/>
        </w:rPr>
        <w:t>8 008 человек. В 2018 году в городском округе родилось 147</w:t>
      </w:r>
      <w:r w:rsidR="00177DD0">
        <w:rPr>
          <w:rFonts w:cs="Times New Roman"/>
        </w:rPr>
        <w:t>4</w:t>
      </w:r>
      <w:r w:rsidRPr="00EC13A5">
        <w:rPr>
          <w:rFonts w:cs="Times New Roman"/>
        </w:rPr>
        <w:t xml:space="preserve"> детей, смертность составила 21</w:t>
      </w:r>
      <w:r w:rsidR="00177DD0">
        <w:rPr>
          <w:rFonts w:cs="Times New Roman"/>
        </w:rPr>
        <w:t>67</w:t>
      </w:r>
      <w:r w:rsidRPr="00EC13A5">
        <w:rPr>
          <w:rFonts w:cs="Times New Roman"/>
        </w:rPr>
        <w:t xml:space="preserve"> человека. В результате, естественная убыль населения городского округа составила </w:t>
      </w:r>
      <w:r w:rsidR="00177DD0">
        <w:rPr>
          <w:rFonts w:cs="Times New Roman"/>
        </w:rPr>
        <w:t>693</w:t>
      </w:r>
      <w:r w:rsidRPr="00EC13A5">
        <w:rPr>
          <w:rFonts w:cs="Times New Roman"/>
        </w:rPr>
        <w:t xml:space="preserve"> человека.  Следует отметить, что естественная убыль населения наблюдается</w:t>
      </w:r>
      <w:r w:rsidR="009D1770">
        <w:rPr>
          <w:rFonts w:cs="Times New Roman"/>
        </w:rPr>
        <w:t xml:space="preserve"> </w:t>
      </w:r>
      <w:r w:rsidRPr="00EC13A5">
        <w:rPr>
          <w:rFonts w:cs="Times New Roman"/>
        </w:rPr>
        <w:t>на территории городского округа Электросталь на протяжении последних 10-15 лет: несмотря на рост продолжительности жизни в целом в стране, смертность населения городского округа ежегодно превышает 2000 человек, в то время как рождаемость сохраняется на уровне от 1450 до 1750 детей в год. Ввиду естественной убыли населения, а также отрицательного миграционного прироста, сложившемся в 2018 году (-177 человека), численность населения городского округа Электросталь по состоянию на 01.01.2019 уменьшилась и составила 165364 человека. Население городского округа распределено по территории следующим образом: городское население (г. Электросталь) – 157371 человек (95%); население сельских населенных пунктов, находящиеся в границе городского округа – 7 993 человека (5%). По численности населения городской округ Электросталь занимает 17 место среди муниципальных образований Московской области, по плотности населения - 15 место (с учетом присоединенных территорий с.п. Степановское): на начало 2019 года плотность населения составляла1200 человек на 1 кв. км.</w:t>
      </w:r>
    </w:p>
    <w:p w:rsidR="00EC13A5" w:rsidRDefault="00EC13A5" w:rsidP="00EC13A5">
      <w:pPr>
        <w:ind w:firstLine="567"/>
        <w:jc w:val="both"/>
        <w:rPr>
          <w:rFonts w:cs="Times New Roman"/>
        </w:rPr>
      </w:pPr>
      <w:r w:rsidRPr="00EC13A5">
        <w:rPr>
          <w:rFonts w:cs="Times New Roman"/>
        </w:rPr>
        <w:t xml:space="preserve">На территории городского округа Электросталь на протяжении последних 10-15 лет наблюдается демографическая убыль, смертность превышает рождаемость. Обусловлена данная  ситуация, как и сложившейся возрастной структурой населения городского округа, численность женщин репродуктивного возраста составляет в среднем не более 40 </w:t>
      </w:r>
      <w:r w:rsidRPr="00EC13A5">
        <w:rPr>
          <w:rFonts w:cs="Times New Roman"/>
        </w:rPr>
        <w:lastRenderedPageBreak/>
        <w:t>тысяч человек, так и тем, что большинство семей ориентируются на одного или двух детей, численность многодетных семей невысокая. В то же время, несмотря на рост продолжительности жизни в целом в стране, смертность населения городского округа  ежегодно превышает 2 тысячи человек.  Динамика регистрации случаев смерти за 5 месяцев 2019 года свидетельствует о снижении смертности в 2019 год</w:t>
      </w:r>
      <w:r w:rsidR="0099566B">
        <w:rPr>
          <w:rFonts w:cs="Times New Roman"/>
        </w:rPr>
        <w:t>у</w:t>
      </w:r>
      <w:r w:rsidRPr="00EC13A5">
        <w:rPr>
          <w:rFonts w:cs="Times New Roman"/>
        </w:rPr>
        <w:t xml:space="preserve"> (на 67 человек меньше, чем за аналогичный период 2018 года). По итогам года  уровень смертности ожидается в количестве 2100 человек. Это свидетельствует об эффективности мер в сфере здравоох</w:t>
      </w:r>
      <w:r w:rsidR="0099566B">
        <w:rPr>
          <w:rFonts w:cs="Times New Roman"/>
        </w:rPr>
        <w:t>ранения, направленных на снижен</w:t>
      </w:r>
      <w:r w:rsidRPr="00EC13A5">
        <w:rPr>
          <w:rFonts w:cs="Times New Roman"/>
        </w:rPr>
        <w:t>ие смертности от основных причин</w:t>
      </w:r>
      <w:r>
        <w:rPr>
          <w:rFonts w:cs="Times New Roman"/>
        </w:rPr>
        <w:t>.</w:t>
      </w:r>
    </w:p>
    <w:p w:rsidR="00EC13A5" w:rsidRDefault="00EC13A5" w:rsidP="00EC13A5">
      <w:pPr>
        <w:ind w:firstLine="567"/>
        <w:jc w:val="both"/>
        <w:rPr>
          <w:rFonts w:cs="Times New Roman"/>
        </w:rPr>
      </w:pPr>
      <w:r w:rsidRPr="00EC13A5">
        <w:rPr>
          <w:rFonts w:cs="Times New Roman"/>
        </w:rPr>
        <w:t>В прогнозном периоде 2020-2022 годов рождаемость в городском округе продолжит тенденцию к снижению. Численность женщин детородного возраста снизится, соответственно рождаемость прогнозируется к снижению до 1,3 – 1,4 тыс. детей в 2022 году. Смертность прогнозируется к уменьшению. К 2022 году планируется довести данный показатель до значения ниже 2 тысяч человек в год. Наибольшее влияние на этот фактор оказывает наличие доступной и качественной медицины, и как следствие</w:t>
      </w:r>
      <w:r w:rsidR="0099566B">
        <w:rPr>
          <w:rFonts w:cs="Times New Roman"/>
        </w:rPr>
        <w:t>,</w:t>
      </w:r>
      <w:r w:rsidRPr="00EC13A5">
        <w:rPr>
          <w:rFonts w:cs="Times New Roman"/>
        </w:rPr>
        <w:t xml:space="preserve"> продолжительность жизни прогнозируется к увеличению. Миграционный прирост прогнозируется умеренно низкий.</w:t>
      </w:r>
    </w:p>
    <w:p w:rsidR="00EC13A5" w:rsidRDefault="00EC13A5" w:rsidP="00EC13A5">
      <w:pPr>
        <w:ind w:firstLine="567"/>
        <w:jc w:val="both"/>
        <w:rPr>
          <w:rFonts w:cs="Times New Roman"/>
        </w:rPr>
      </w:pPr>
      <w:r w:rsidRPr="00EC13A5">
        <w:rPr>
          <w:rFonts w:cs="Times New Roman"/>
        </w:rPr>
        <w:t xml:space="preserve">Преобладание промышленных предприятий формирует миграционные потоки. </w:t>
      </w:r>
      <w:r w:rsidR="00D77E3D">
        <w:rPr>
          <w:rFonts w:cs="Times New Roman"/>
        </w:rPr>
        <w:t xml:space="preserve">           </w:t>
      </w:r>
      <w:r w:rsidRPr="00EC13A5">
        <w:rPr>
          <w:rFonts w:cs="Times New Roman"/>
        </w:rPr>
        <w:t>В миграционном приросте преобладает межрегиональные потоки, преимущественно трудоспособного населения, специалистов среднего звена. Однако финансовое положение предприятий в 2018 году отразилось и на миграционном приросте.</w:t>
      </w:r>
    </w:p>
    <w:p w:rsidR="00EC13A5" w:rsidRDefault="00EC13A5" w:rsidP="00EC13A5">
      <w:pPr>
        <w:ind w:firstLine="567"/>
        <w:jc w:val="both"/>
        <w:rPr>
          <w:rFonts w:cs="Times New Roman"/>
        </w:rPr>
      </w:pPr>
      <w:r w:rsidRPr="00EC13A5">
        <w:rPr>
          <w:rFonts w:cs="Times New Roman"/>
        </w:rPr>
        <w:t>Миграционный прирост за 1 квартал 2019 составил 8 человек, ожидается, что по окончании года миграционные потоки возобновят положительную динамику</w:t>
      </w:r>
      <w:r>
        <w:rPr>
          <w:rFonts w:cs="Times New Roman"/>
        </w:rPr>
        <w:t>.</w:t>
      </w:r>
    </w:p>
    <w:p w:rsidR="00EC13A5" w:rsidRDefault="00EC13A5" w:rsidP="00EC13A5">
      <w:pPr>
        <w:ind w:firstLine="567"/>
        <w:jc w:val="both"/>
        <w:rPr>
          <w:rFonts w:cs="Times New Roman"/>
        </w:rPr>
      </w:pPr>
      <w:r w:rsidRPr="00EC13A5">
        <w:rPr>
          <w:rFonts w:cs="Times New Roman"/>
        </w:rPr>
        <w:t>Большое влияние на рост населения, пребывающего на территорию городского округа</w:t>
      </w:r>
      <w:r w:rsidR="002F5655">
        <w:rPr>
          <w:rFonts w:cs="Times New Roman"/>
        </w:rPr>
        <w:t>,</w:t>
      </w:r>
      <w:r w:rsidRPr="00EC13A5">
        <w:rPr>
          <w:rFonts w:cs="Times New Roman"/>
        </w:rPr>
        <w:t xml:space="preserve"> может оказать выход на проектную мощность одного из крупнейших сельскохозяйственных предприятий Московской области ООО </w:t>
      </w:r>
      <w:r w:rsidR="0099566B">
        <w:rPr>
          <w:rFonts w:cs="Times New Roman"/>
        </w:rPr>
        <w:t>«</w:t>
      </w:r>
      <w:r w:rsidRPr="00EC13A5">
        <w:rPr>
          <w:rFonts w:cs="Times New Roman"/>
        </w:rPr>
        <w:t xml:space="preserve">Агрокомплекс </w:t>
      </w:r>
      <w:r w:rsidR="0099566B">
        <w:rPr>
          <w:rFonts w:cs="Times New Roman"/>
        </w:rPr>
        <w:t>«</w:t>
      </w:r>
      <w:r w:rsidRPr="00EC13A5">
        <w:rPr>
          <w:rFonts w:cs="Times New Roman"/>
        </w:rPr>
        <w:t>Иванисово</w:t>
      </w:r>
      <w:r w:rsidR="0099566B">
        <w:rPr>
          <w:rFonts w:cs="Times New Roman"/>
        </w:rPr>
        <w:t>»</w:t>
      </w:r>
      <w:r w:rsidRPr="00EC13A5">
        <w:rPr>
          <w:rFonts w:cs="Times New Roman"/>
        </w:rPr>
        <w:t>, введением в эксплуатацию второй очереди агрокомплекса по выращиванию томатов и грибоводческой продукции</w:t>
      </w:r>
      <w:r>
        <w:rPr>
          <w:rFonts w:cs="Times New Roman"/>
        </w:rPr>
        <w:t>.</w:t>
      </w:r>
    </w:p>
    <w:p w:rsidR="00EC13A5" w:rsidRPr="00EC13A5" w:rsidRDefault="00EC13A5" w:rsidP="00EC13A5">
      <w:pPr>
        <w:ind w:firstLine="567"/>
        <w:jc w:val="both"/>
        <w:rPr>
          <w:rFonts w:cs="Times New Roman"/>
        </w:rPr>
      </w:pPr>
    </w:p>
    <w:p w:rsidR="00FE4282" w:rsidRDefault="00FE4282" w:rsidP="00FE4282">
      <w:pPr>
        <w:ind w:firstLine="567"/>
        <w:jc w:val="both"/>
        <w:rPr>
          <w:rFonts w:cs="Times New Roman"/>
          <w:b/>
        </w:rPr>
      </w:pPr>
      <w:r w:rsidRPr="003B48BE">
        <w:rPr>
          <w:rFonts w:cs="Times New Roman"/>
          <w:b/>
        </w:rPr>
        <w:t>Промышленное производство.</w:t>
      </w:r>
    </w:p>
    <w:p w:rsidR="002F5655" w:rsidRPr="003B48BE" w:rsidRDefault="002F5655" w:rsidP="00FE4282">
      <w:pPr>
        <w:ind w:firstLine="567"/>
        <w:jc w:val="both"/>
        <w:rPr>
          <w:rFonts w:cs="Times New Roman"/>
          <w:b/>
        </w:rPr>
      </w:pPr>
    </w:p>
    <w:p w:rsidR="00FE4282" w:rsidRPr="008F3227" w:rsidRDefault="00B647D3" w:rsidP="00FE4282">
      <w:pPr>
        <w:ind w:firstLine="567"/>
        <w:jc w:val="both"/>
        <w:rPr>
          <w:rFonts w:cs="Times New Roman"/>
          <w:b/>
          <w:bCs/>
          <w:i/>
        </w:rPr>
      </w:pPr>
      <w:r w:rsidRPr="008F3227">
        <w:rPr>
          <w:rFonts w:cs="Times New Roman"/>
          <w:b/>
          <w:bCs/>
          <w:i/>
        </w:rPr>
        <w:t>Сложившаяся характеристика развития промышленного производства</w:t>
      </w:r>
    </w:p>
    <w:p w:rsidR="00A5608E" w:rsidRDefault="00503F06" w:rsidP="00FE4282">
      <w:pPr>
        <w:ind w:firstLine="540"/>
        <w:jc w:val="both"/>
        <w:rPr>
          <w:rFonts w:cs="Times New Roman"/>
        </w:rPr>
      </w:pPr>
      <w:r w:rsidRPr="00503F06">
        <w:rPr>
          <w:rFonts w:cs="Times New Roman"/>
        </w:rPr>
        <w:t xml:space="preserve">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 Доля оборота промышленных предприятий в общем объеме оборота крупных и средних предприятий города составляет 53,6%. Объем отгруженных товаров собственного производства предприятий организаций городского округа по </w:t>
      </w:r>
      <w:r w:rsidR="00D9295E">
        <w:rPr>
          <w:rFonts w:cs="Times New Roman"/>
        </w:rPr>
        <w:t xml:space="preserve">промышленным видам </w:t>
      </w:r>
      <w:r w:rsidRPr="00503F06">
        <w:rPr>
          <w:rFonts w:cs="Times New Roman"/>
        </w:rPr>
        <w:t xml:space="preserve"> деятельности составил за 2018 год 53,9 млрд. рублей, снижение по сравнению с 2017 годом – 6,1%. 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 Особое влияние на динамику показателя оказывают крупнейшие предприятия городского округа Электросталь </w:t>
      </w:r>
      <w:r w:rsidR="00D77E3D">
        <w:rPr>
          <w:rFonts w:cs="Times New Roman"/>
        </w:rPr>
        <w:t xml:space="preserve">                </w:t>
      </w:r>
      <w:r w:rsidRPr="00503F06">
        <w:rPr>
          <w:rFonts w:cs="Times New Roman"/>
        </w:rPr>
        <w:t xml:space="preserve">ПАО «МСЗ» (объем отгруженной продукции за 2018 год составил 17,9 млрд.руб.) и </w:t>
      </w:r>
      <w:r w:rsidR="00D77E3D">
        <w:rPr>
          <w:rFonts w:cs="Times New Roman"/>
        </w:rPr>
        <w:t xml:space="preserve">             </w:t>
      </w:r>
      <w:r w:rsidRPr="00503F06">
        <w:rPr>
          <w:rFonts w:cs="Times New Roman"/>
        </w:rPr>
        <w:t>АО МЗ «Электросталь» (объем отгруженной продукции за 2018 год 12,8 млрд.руб.), снижением в 2018 году объема отгрузки этих предприятий и обусловлено снижение объема отгруженной продукции в целом по городскому округу за 2018 год, темп - 93,1% по отношению к 2017 году.</w:t>
      </w:r>
    </w:p>
    <w:p w:rsidR="00503F06" w:rsidRPr="00764646" w:rsidRDefault="00764646" w:rsidP="00FE4282">
      <w:pPr>
        <w:ind w:firstLine="540"/>
        <w:jc w:val="both"/>
        <w:rPr>
          <w:rFonts w:cs="Times New Roman"/>
        </w:rPr>
      </w:pPr>
      <w:r w:rsidRPr="00764646">
        <w:rPr>
          <w:rFonts w:cs="Times New Roman"/>
        </w:rPr>
        <w:t>Важным фактором динамичного развития промышленного производства является увеличение степени загрузки производственных мощностей предприятий городского округа при наличии спроса на изготовляемую продукцию. Оценки уровня использования производственных мощностей на промышленных предприятиях городского округа показывают, что наибольшим потенциалом загрузки обладают предприятия обрабатывающего производства.  В целях наиболее эффективного использования имеющихся производственные мощностей  осуществляется укрепление минерально-сырьевой базы, которая также обладает существенным потенциалом и резервами роста.  Основными факторами роста промышленного производства на территории городского округа Электросталь являются:  углубление процессов модернизации промышленности;  повышение эффективности использования ресурсов предприятия;  увеличение загрузки производственных мощностей; усиление роли инновационного фактора в развитии промышленного производства.</w:t>
      </w:r>
    </w:p>
    <w:p w:rsidR="00764646" w:rsidRPr="003B48BE" w:rsidRDefault="00764646" w:rsidP="00FE4282">
      <w:pPr>
        <w:ind w:firstLine="540"/>
        <w:jc w:val="both"/>
        <w:rPr>
          <w:rFonts w:cs="Times New Roman"/>
          <w:b/>
        </w:rPr>
      </w:pPr>
    </w:p>
    <w:p w:rsidR="00B31EDC" w:rsidRPr="002948BE" w:rsidRDefault="00B31EDC" w:rsidP="00FE4282">
      <w:pPr>
        <w:ind w:firstLine="540"/>
        <w:jc w:val="both"/>
        <w:rPr>
          <w:rFonts w:cs="Times New Roman"/>
          <w:b/>
          <w:bCs/>
          <w:i/>
          <w:color w:val="333333"/>
        </w:rPr>
      </w:pPr>
      <w:r w:rsidRPr="002948BE">
        <w:rPr>
          <w:rFonts w:cs="Times New Roman"/>
          <w:b/>
          <w:bCs/>
          <w:i/>
          <w:color w:val="333333"/>
        </w:rPr>
        <w:t>Прогноз развития обрабатывающих производств</w:t>
      </w:r>
    </w:p>
    <w:p w:rsidR="00C22149" w:rsidRDefault="00764646" w:rsidP="00FE4282">
      <w:pPr>
        <w:ind w:firstLine="540"/>
        <w:jc w:val="both"/>
        <w:rPr>
          <w:rFonts w:cs="Times New Roman"/>
        </w:rPr>
      </w:pPr>
      <w:r w:rsidRPr="00764646">
        <w:rPr>
          <w:rFonts w:cs="Times New Roman"/>
        </w:rPr>
        <w:t xml:space="preserve">На положительную динамику показателя в прогнозном периоде окажут влияние следующие факторы: </w:t>
      </w:r>
    </w:p>
    <w:p w:rsidR="00C22149" w:rsidRDefault="00764646" w:rsidP="00FE4282">
      <w:pPr>
        <w:ind w:firstLine="540"/>
        <w:jc w:val="both"/>
        <w:rPr>
          <w:rFonts w:cs="Times New Roman"/>
        </w:rPr>
      </w:pPr>
      <w:r w:rsidRPr="00764646">
        <w:rPr>
          <w:rFonts w:cs="Times New Roman"/>
        </w:rPr>
        <w:t>1.</w:t>
      </w:r>
      <w:r w:rsidRPr="00764646">
        <w:rPr>
          <w:rFonts w:cs="Times New Roman"/>
        </w:rPr>
        <w:tab/>
        <w:t xml:space="preserve">Развитие индустриальных парков городского округа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 </w:t>
      </w:r>
    </w:p>
    <w:p w:rsidR="00C22149" w:rsidRDefault="00764646" w:rsidP="00FE4282">
      <w:pPr>
        <w:ind w:firstLine="540"/>
        <w:jc w:val="both"/>
        <w:rPr>
          <w:rFonts w:cs="Times New Roman"/>
        </w:rPr>
      </w:pPr>
      <w:r w:rsidRPr="00764646">
        <w:rPr>
          <w:rFonts w:cs="Times New Roman"/>
        </w:rPr>
        <w:t>2.</w:t>
      </w:r>
      <w:r w:rsidRPr="00764646">
        <w:rPr>
          <w:rFonts w:cs="Times New Roman"/>
        </w:rPr>
        <w:tab/>
        <w:t xml:space="preserve">Реализация инвестиционных проектов в сфере «промышленность»: </w:t>
      </w:r>
    </w:p>
    <w:p w:rsidR="00C22149" w:rsidRDefault="00764646" w:rsidP="00FE4282">
      <w:pPr>
        <w:ind w:firstLine="540"/>
        <w:jc w:val="both"/>
        <w:rPr>
          <w:rFonts w:cs="Times New Roman"/>
        </w:rPr>
      </w:pPr>
      <w:r w:rsidRPr="00764646">
        <w:rPr>
          <w:rFonts w:cs="Times New Roman"/>
        </w:rPr>
        <w:t xml:space="preserve">- Реконструкция и модернизация предприятия атомной отрасли </w:t>
      </w:r>
      <w:r w:rsidR="00D77E3D">
        <w:rPr>
          <w:rFonts w:cs="Times New Roman"/>
        </w:rPr>
        <w:t xml:space="preserve">                                        </w:t>
      </w:r>
      <w:r w:rsidRPr="00764646">
        <w:rPr>
          <w:rFonts w:cs="Times New Roman"/>
        </w:rPr>
        <w:t xml:space="preserve">ПАО «Машиностроительный завод». Проект подразумевает: развитие ядерного производства; развитие инфраструктуры, инженерных коммуникаций и социальной сферы; выполнение мероприятий по ФЦП и обременениям. </w:t>
      </w:r>
    </w:p>
    <w:p w:rsidR="00C22149" w:rsidRDefault="00764646" w:rsidP="00FE4282">
      <w:pPr>
        <w:ind w:firstLine="540"/>
        <w:jc w:val="both"/>
        <w:rPr>
          <w:rFonts w:cs="Times New Roman"/>
        </w:rPr>
      </w:pPr>
      <w:r w:rsidRPr="00764646">
        <w:rPr>
          <w:rFonts w:cs="Times New Roman"/>
        </w:rPr>
        <w:t xml:space="preserve">- Модернизация и техническое перевооружение металлургического производства </w:t>
      </w:r>
      <w:r w:rsidR="00D77E3D">
        <w:rPr>
          <w:rFonts w:cs="Times New Roman"/>
        </w:rPr>
        <w:t xml:space="preserve">                      </w:t>
      </w:r>
      <w:r w:rsidRPr="00764646">
        <w:rPr>
          <w:rFonts w:cs="Times New Roman"/>
        </w:rPr>
        <w:t xml:space="preserve">АО «Металлургический завод «Электросталь». Проект подразумевает: приобретение оборудования для изготовления оснастки и инструмента; приобретение и монтаж нагревательной печи производства LOCHER Industrieofen-undApparatebau. </w:t>
      </w:r>
    </w:p>
    <w:p w:rsidR="00C22149" w:rsidRDefault="00764646" w:rsidP="00FE4282">
      <w:pPr>
        <w:ind w:firstLine="540"/>
        <w:jc w:val="both"/>
        <w:rPr>
          <w:rFonts w:cs="Times New Roman"/>
        </w:rPr>
      </w:pPr>
      <w:r w:rsidRPr="00764646">
        <w:rPr>
          <w:rFonts w:cs="Times New Roman"/>
        </w:rPr>
        <w:t>- Создание нового производства автоклавного газобетона, реализуется</w:t>
      </w:r>
      <w:r w:rsidR="00C22149">
        <w:rPr>
          <w:rFonts w:cs="Times New Roman"/>
        </w:rPr>
        <w:t xml:space="preserve"> </w:t>
      </w:r>
      <w:r w:rsidRPr="00764646">
        <w:rPr>
          <w:rFonts w:cs="Times New Roman"/>
        </w:rPr>
        <w:t xml:space="preserve">компанией «БОНОЛИТ» с октября 2018 года. </w:t>
      </w:r>
    </w:p>
    <w:p w:rsidR="00C22149" w:rsidRDefault="00764646" w:rsidP="00FE4282">
      <w:pPr>
        <w:ind w:firstLine="540"/>
        <w:jc w:val="both"/>
        <w:rPr>
          <w:rFonts w:cs="Times New Roman"/>
        </w:rPr>
      </w:pPr>
      <w:r w:rsidRPr="00764646">
        <w:rPr>
          <w:rFonts w:cs="Times New Roman"/>
        </w:rPr>
        <w:t xml:space="preserve">- Группой компании «Тране» реализуются инвестиционные проекты по строительству бизнес-парка; </w:t>
      </w:r>
    </w:p>
    <w:p w:rsidR="00C22149" w:rsidRDefault="00764646" w:rsidP="00FE4282">
      <w:pPr>
        <w:ind w:firstLine="540"/>
        <w:jc w:val="both"/>
        <w:rPr>
          <w:rFonts w:cs="Times New Roman"/>
        </w:rPr>
      </w:pPr>
      <w:r w:rsidRPr="00764646">
        <w:rPr>
          <w:rFonts w:cs="Times New Roman"/>
        </w:rPr>
        <w:t>- Строительство производственного здания компанией ООО «Производственный комплекс «ВЕГА»</w:t>
      </w:r>
      <w:r w:rsidR="00C22149">
        <w:rPr>
          <w:rFonts w:cs="Times New Roman"/>
        </w:rPr>
        <w:t>;</w:t>
      </w:r>
    </w:p>
    <w:p w:rsidR="00C22149" w:rsidRDefault="00764646" w:rsidP="00FE4282">
      <w:pPr>
        <w:ind w:firstLine="540"/>
        <w:jc w:val="both"/>
        <w:rPr>
          <w:rFonts w:cs="Times New Roman"/>
        </w:rPr>
      </w:pPr>
      <w:r w:rsidRPr="00764646">
        <w:rPr>
          <w:rFonts w:cs="Times New Roman"/>
        </w:rPr>
        <w:t>- Строительство производственного здания компанией ООО «Альянс»</w:t>
      </w:r>
      <w:r w:rsidR="00C22149">
        <w:rPr>
          <w:rFonts w:cs="Times New Roman"/>
        </w:rPr>
        <w:t>;</w:t>
      </w:r>
    </w:p>
    <w:p w:rsidR="00C22149" w:rsidRDefault="00764646" w:rsidP="00FE4282">
      <w:pPr>
        <w:ind w:firstLine="540"/>
        <w:jc w:val="both"/>
        <w:rPr>
          <w:rFonts w:cs="Times New Roman"/>
        </w:rPr>
      </w:pPr>
      <w:r w:rsidRPr="00764646">
        <w:rPr>
          <w:rFonts w:cs="Times New Roman"/>
        </w:rPr>
        <w:t>- Строительство произ</w:t>
      </w:r>
      <w:r w:rsidR="00C22149">
        <w:rPr>
          <w:rFonts w:cs="Times New Roman"/>
        </w:rPr>
        <w:t>водственного здания ООО «Амега»;</w:t>
      </w:r>
      <w:r w:rsidRPr="00764646">
        <w:rPr>
          <w:rFonts w:cs="Times New Roman"/>
        </w:rPr>
        <w:t xml:space="preserve"> </w:t>
      </w:r>
    </w:p>
    <w:p w:rsidR="00B31EDC" w:rsidRPr="003B48BE" w:rsidRDefault="00764646" w:rsidP="00FE4282">
      <w:pPr>
        <w:ind w:firstLine="540"/>
        <w:jc w:val="both"/>
        <w:rPr>
          <w:rFonts w:cs="Times New Roman"/>
          <w:b/>
        </w:rPr>
      </w:pPr>
      <w:r w:rsidRPr="00764646">
        <w:rPr>
          <w:rFonts w:cs="Times New Roman"/>
        </w:rPr>
        <w:t xml:space="preserve">- Строительство производственно-складского комплекса компанией </w:t>
      </w:r>
      <w:r w:rsidR="00D77E3D">
        <w:rPr>
          <w:rFonts w:cs="Times New Roman"/>
        </w:rPr>
        <w:t xml:space="preserve">                               </w:t>
      </w:r>
      <w:r w:rsidRPr="00764646">
        <w:rPr>
          <w:rFonts w:cs="Times New Roman"/>
        </w:rPr>
        <w:t>ООО «МасТТеч»</w:t>
      </w:r>
      <w:r w:rsidR="00C22149">
        <w:rPr>
          <w:rFonts w:cs="Times New Roman"/>
        </w:rPr>
        <w:t>.</w:t>
      </w:r>
    </w:p>
    <w:p w:rsidR="00B31EDC" w:rsidRPr="003B48BE" w:rsidRDefault="00B31EDC" w:rsidP="00FE4282">
      <w:pPr>
        <w:ind w:firstLine="540"/>
        <w:jc w:val="both"/>
        <w:rPr>
          <w:rFonts w:cs="Times New Roman"/>
          <w:b/>
        </w:rPr>
      </w:pPr>
    </w:p>
    <w:p w:rsidR="00FE4282" w:rsidRDefault="0053125A" w:rsidP="00FE4282">
      <w:pPr>
        <w:ind w:firstLine="540"/>
        <w:jc w:val="both"/>
        <w:rPr>
          <w:rFonts w:cs="Times New Roman"/>
          <w:b/>
        </w:rPr>
      </w:pPr>
      <w:r w:rsidRPr="003B48BE">
        <w:rPr>
          <w:rFonts w:cs="Times New Roman"/>
          <w:b/>
        </w:rPr>
        <w:t>Сельское хозяйство</w:t>
      </w:r>
    </w:p>
    <w:p w:rsidR="002F5655" w:rsidRPr="003B48BE" w:rsidRDefault="002F5655" w:rsidP="00FE4282">
      <w:pPr>
        <w:ind w:firstLine="540"/>
        <w:jc w:val="both"/>
        <w:rPr>
          <w:rFonts w:cs="Times New Roman"/>
          <w:b/>
        </w:rPr>
      </w:pPr>
    </w:p>
    <w:p w:rsidR="00FE4282" w:rsidRPr="00A73E81" w:rsidRDefault="00B31EDC" w:rsidP="00FE4282">
      <w:pPr>
        <w:ind w:firstLine="540"/>
        <w:jc w:val="both"/>
        <w:rPr>
          <w:rFonts w:cs="Times New Roman"/>
          <w:b/>
          <w:bCs/>
          <w:i/>
        </w:rPr>
      </w:pPr>
      <w:r w:rsidRPr="00A73E81">
        <w:rPr>
          <w:rFonts w:cs="Times New Roman"/>
          <w:b/>
          <w:bCs/>
          <w:i/>
        </w:rPr>
        <w:t>Сложившаяся характеристика развития сельского хозяйства</w:t>
      </w:r>
    </w:p>
    <w:p w:rsidR="00B31EDC" w:rsidRDefault="00764646" w:rsidP="00FE4282">
      <w:pPr>
        <w:ind w:firstLine="540"/>
        <w:jc w:val="both"/>
        <w:rPr>
          <w:rFonts w:cs="Times New Roman"/>
        </w:rPr>
      </w:pPr>
      <w:r w:rsidRPr="00764646">
        <w:rPr>
          <w:rFonts w:cs="Times New Roman"/>
        </w:rPr>
        <w:t xml:space="preserve">Крупнейшими сельскохозяйственными предприятиями городского округа Электросталь на </w:t>
      </w:r>
      <w:r w:rsidR="00C22149">
        <w:rPr>
          <w:rFonts w:cs="Times New Roman"/>
        </w:rPr>
        <w:t>сегодняшний день являются: ООО «Тепличный комплекс «Агрокомплекс «</w:t>
      </w:r>
      <w:r w:rsidRPr="00764646">
        <w:rPr>
          <w:rFonts w:cs="Times New Roman"/>
        </w:rPr>
        <w:t>Иванисово</w:t>
      </w:r>
      <w:r w:rsidR="00C22149">
        <w:rPr>
          <w:rFonts w:cs="Times New Roman"/>
        </w:rPr>
        <w:t>», ООО «Агрокомплекс  «</w:t>
      </w:r>
      <w:r w:rsidRPr="00764646">
        <w:rPr>
          <w:rFonts w:cs="Times New Roman"/>
        </w:rPr>
        <w:t>Богородские овощи</w:t>
      </w:r>
      <w:r w:rsidR="00C22149">
        <w:rPr>
          <w:rFonts w:cs="Times New Roman"/>
        </w:rPr>
        <w:t xml:space="preserve">», грибной комплекс </w:t>
      </w:r>
      <w:r w:rsidR="00D77E3D">
        <w:rPr>
          <w:rFonts w:cs="Times New Roman"/>
        </w:rPr>
        <w:t xml:space="preserve">                       </w:t>
      </w:r>
      <w:r w:rsidR="00C22149">
        <w:rPr>
          <w:rFonts w:cs="Times New Roman"/>
        </w:rPr>
        <w:t>ООО «</w:t>
      </w:r>
      <w:r w:rsidRPr="00764646">
        <w:rPr>
          <w:rFonts w:cs="Times New Roman"/>
        </w:rPr>
        <w:t>ТД Богородские овощи». Основные виды сельскохозяйственной продукции, которые производят данные предприятия это овощи: огурцы, томаты, салат. В городском округе Электросталь отсутствуют животноводческие, свиноводческие фермы, птицефермы. Данные по показателям производства продукции животного происхождения  основаны на монитор</w:t>
      </w:r>
      <w:r>
        <w:rPr>
          <w:rFonts w:cs="Times New Roman"/>
        </w:rPr>
        <w:t>инге частных сельских  хозяйств</w:t>
      </w:r>
      <w:r w:rsidRPr="00764646">
        <w:rPr>
          <w:rFonts w:cs="Times New Roman"/>
        </w:rPr>
        <w:t>. По результатам мониторинга установлен</w:t>
      </w:r>
      <w:r w:rsidR="00C22149">
        <w:rPr>
          <w:rFonts w:cs="Times New Roman"/>
        </w:rPr>
        <w:t>о, что  значение показателя «</w:t>
      </w:r>
      <w:r w:rsidRPr="00764646">
        <w:rPr>
          <w:rFonts w:cs="Times New Roman"/>
        </w:rPr>
        <w:t>Производство скота и птицы на убой в хозяйствах всех категорий</w:t>
      </w:r>
      <w:r w:rsidR="00C22149">
        <w:rPr>
          <w:rFonts w:cs="Times New Roman"/>
        </w:rPr>
        <w:t>»</w:t>
      </w:r>
      <w:r w:rsidRPr="00764646">
        <w:rPr>
          <w:rFonts w:cs="Times New Roman"/>
        </w:rPr>
        <w:t xml:space="preserve"> остается в районе 10 тыс. тонн ежегодно.</w:t>
      </w:r>
    </w:p>
    <w:p w:rsidR="002948BE" w:rsidRPr="003B48BE" w:rsidRDefault="002948BE" w:rsidP="00FE4282">
      <w:pPr>
        <w:ind w:firstLine="540"/>
        <w:jc w:val="both"/>
        <w:rPr>
          <w:rFonts w:cs="Times New Roman"/>
        </w:rPr>
      </w:pPr>
      <w:r w:rsidRPr="002948BE">
        <w:rPr>
          <w:rFonts w:cs="Times New Roman"/>
        </w:rPr>
        <w:t>Динамика роста производства сельхозпродукции будет обусловлено постепенным увеличением  площадей  агрокомплекса и вводом новых мощностей.</w:t>
      </w:r>
    </w:p>
    <w:p w:rsidR="0053125A" w:rsidRPr="003B48BE" w:rsidRDefault="0053125A" w:rsidP="00FE4282">
      <w:pPr>
        <w:ind w:firstLine="540"/>
        <w:jc w:val="both"/>
        <w:rPr>
          <w:rFonts w:cs="Times New Roman"/>
          <w:b/>
        </w:rPr>
      </w:pPr>
    </w:p>
    <w:p w:rsidR="00FE4282" w:rsidRPr="002948BE" w:rsidRDefault="0053125A" w:rsidP="00FE4282">
      <w:pPr>
        <w:ind w:firstLine="540"/>
        <w:jc w:val="both"/>
        <w:rPr>
          <w:rFonts w:cs="Times New Roman"/>
          <w:b/>
          <w:bCs/>
          <w:i/>
          <w:color w:val="333333"/>
        </w:rPr>
      </w:pPr>
      <w:r w:rsidRPr="002948BE">
        <w:rPr>
          <w:rFonts w:cs="Times New Roman"/>
          <w:b/>
          <w:bCs/>
          <w:i/>
          <w:color w:val="333333"/>
        </w:rPr>
        <w:t>Прогноз развития сельского хозяйства</w:t>
      </w:r>
    </w:p>
    <w:p w:rsidR="00C22149" w:rsidRDefault="002948BE" w:rsidP="00FE4282">
      <w:pPr>
        <w:ind w:firstLine="540"/>
        <w:jc w:val="both"/>
        <w:rPr>
          <w:rFonts w:cs="Times New Roman"/>
        </w:rPr>
      </w:pPr>
      <w:r w:rsidRPr="002948BE">
        <w:rPr>
          <w:rFonts w:cs="Times New Roman"/>
        </w:rPr>
        <w:t xml:space="preserve">Реализуемый группой компаний «Виктория Эстейт» на территории городского округа проект по созданию и развитию на площадях агропарка VictoriaIndustrialPark тепличного комплекса позволит круглогодично выращивать овощные культуры в закрытом грунте. В настоящее время на территории агропарка реализуется проекты по: </w:t>
      </w:r>
    </w:p>
    <w:p w:rsidR="00C22149" w:rsidRDefault="002948BE" w:rsidP="00FE4282">
      <w:pPr>
        <w:ind w:firstLine="540"/>
        <w:jc w:val="both"/>
        <w:rPr>
          <w:rFonts w:cs="Times New Roman"/>
        </w:rPr>
      </w:pPr>
      <w:r w:rsidRPr="002948BE">
        <w:rPr>
          <w:rFonts w:cs="Times New Roman"/>
        </w:rPr>
        <w:t xml:space="preserve">- строительству тепличного комплекса второй очереди; </w:t>
      </w:r>
    </w:p>
    <w:p w:rsidR="00C22149" w:rsidRDefault="002948BE" w:rsidP="00FE4282">
      <w:pPr>
        <w:ind w:firstLine="540"/>
        <w:jc w:val="both"/>
        <w:rPr>
          <w:rFonts w:cs="Times New Roman"/>
        </w:rPr>
      </w:pPr>
      <w:r w:rsidRPr="002948BE">
        <w:rPr>
          <w:rFonts w:cs="Times New Roman"/>
        </w:rPr>
        <w:t xml:space="preserve">- строительству грибного комплекса ООО «ТД «Богородские овощи»; </w:t>
      </w:r>
    </w:p>
    <w:p w:rsidR="0053125A" w:rsidRPr="003B48BE" w:rsidRDefault="002948BE" w:rsidP="00FE4282">
      <w:pPr>
        <w:ind w:firstLine="540"/>
        <w:jc w:val="both"/>
        <w:rPr>
          <w:rFonts w:cs="Times New Roman"/>
          <w:b/>
        </w:rPr>
      </w:pPr>
      <w:r w:rsidRPr="002948BE">
        <w:rPr>
          <w:rFonts w:cs="Times New Roman"/>
        </w:rPr>
        <w:t>- строительству тепличного комплекса (третья очередь) по круглогодичному выращиванию клубники.</w:t>
      </w:r>
    </w:p>
    <w:p w:rsidR="002948BE" w:rsidRDefault="002948BE" w:rsidP="00FE4282">
      <w:pPr>
        <w:pStyle w:val="a3"/>
        <w:ind w:left="0" w:firstLine="540"/>
        <w:jc w:val="both"/>
        <w:rPr>
          <w:b/>
          <w:bCs/>
          <w:color w:val="333333"/>
        </w:rPr>
      </w:pPr>
    </w:p>
    <w:p w:rsidR="00FE4282" w:rsidRPr="003B48BE" w:rsidRDefault="0053125A" w:rsidP="00FE4282">
      <w:pPr>
        <w:pStyle w:val="a3"/>
        <w:ind w:left="0" w:firstLine="540"/>
        <w:jc w:val="both"/>
        <w:rPr>
          <w:b/>
          <w:bCs/>
        </w:rPr>
      </w:pPr>
      <w:r w:rsidRPr="003B48BE">
        <w:rPr>
          <w:b/>
          <w:bCs/>
          <w:color w:val="333333"/>
        </w:rPr>
        <w:t>Транспорт</w:t>
      </w:r>
      <w:r w:rsidR="00FE4282" w:rsidRPr="003B48BE">
        <w:rPr>
          <w:b/>
          <w:bCs/>
        </w:rPr>
        <w:t>.</w:t>
      </w:r>
    </w:p>
    <w:p w:rsidR="00FE4282" w:rsidRDefault="002948BE" w:rsidP="00FE4282">
      <w:pPr>
        <w:ind w:firstLine="540"/>
        <w:jc w:val="both"/>
        <w:rPr>
          <w:rFonts w:cs="Times New Roman"/>
        </w:rPr>
      </w:pPr>
      <w:r w:rsidRPr="002948BE">
        <w:rPr>
          <w:rFonts w:cs="Times New Roman"/>
        </w:rPr>
        <w:t>В связи с присоединением с 01.01.2018 к городскому округу Электросталь территории сельского поселения Степановское Ногинского муниципального района, протяжённость муниципальных автомобильных дорог в городском округе увеличилась и составляет 156,3 километро</w:t>
      </w:r>
      <w:r w:rsidR="002F5655">
        <w:rPr>
          <w:rFonts w:cs="Times New Roman"/>
        </w:rPr>
        <w:t>в.</w:t>
      </w:r>
      <w:r w:rsidRPr="002948BE">
        <w:rPr>
          <w:rFonts w:cs="Times New Roman"/>
        </w:rPr>
        <w:t xml:space="preserve"> </w:t>
      </w:r>
      <w:r w:rsidR="008C5F3B">
        <w:rPr>
          <w:rFonts w:cs="Times New Roman"/>
        </w:rPr>
        <w:t xml:space="preserve">Общая </w:t>
      </w:r>
      <w:r w:rsidRPr="002948BE">
        <w:rPr>
          <w:rFonts w:cs="Times New Roman"/>
        </w:rPr>
        <w:t xml:space="preserve">площадь дорожного покрытия </w:t>
      </w:r>
      <w:r w:rsidR="008C5F3B">
        <w:rPr>
          <w:rFonts w:cs="Times New Roman"/>
        </w:rPr>
        <w:t xml:space="preserve">- 1199,6  тыс. </w:t>
      </w:r>
      <w:r w:rsidRPr="002948BE">
        <w:rPr>
          <w:rFonts w:cs="Times New Roman"/>
        </w:rPr>
        <w:t xml:space="preserve">квадратных метров. Все муниципальные автомобильные дороги имеют усовершенствованное покрытие.  По состоянию на 1 января 2018 года 35,8  километра муниципальных автомобильных дорог нуждались в капитальном ремонте и ремонте дорожного покрытия, что составляло 36,3 % всей протяжённости муниципальных автомобильных дорог. В 2018 году отремонтировано асфальтовое покрытие 37 участков муниципальных автомобильных дорог площадью 271,6 тыс. кв. метров, протяженностью 21,586 км. Затраты на ремонт муниципальных автомобильных дорог составили – </w:t>
      </w:r>
      <w:r w:rsidR="00D77E3D">
        <w:rPr>
          <w:rFonts w:cs="Times New Roman"/>
        </w:rPr>
        <w:t xml:space="preserve">                   </w:t>
      </w:r>
      <w:r w:rsidRPr="002948BE">
        <w:rPr>
          <w:rFonts w:cs="Times New Roman"/>
        </w:rPr>
        <w:t>241,1</w:t>
      </w:r>
      <w:r w:rsidR="002D7C2C">
        <w:rPr>
          <w:rFonts w:cs="Times New Roman"/>
        </w:rPr>
        <w:t xml:space="preserve"> </w:t>
      </w:r>
      <w:r w:rsidRPr="002948BE">
        <w:rPr>
          <w:rFonts w:cs="Times New Roman"/>
        </w:rPr>
        <w:t>млн. рублей</w:t>
      </w:r>
      <w:r w:rsidR="002D7C2C">
        <w:rPr>
          <w:rFonts w:cs="Times New Roman"/>
        </w:rPr>
        <w:t>.</w:t>
      </w:r>
      <w:r w:rsidR="00D77E3D">
        <w:rPr>
          <w:rFonts w:cs="Times New Roman"/>
        </w:rPr>
        <w:t xml:space="preserve"> </w:t>
      </w:r>
      <w:r w:rsidRPr="002948BE">
        <w:rPr>
          <w:rFonts w:cs="Times New Roman"/>
        </w:rPr>
        <w:t>Также проведены работы по устранению деформаций и повреждений дорожного покрытия, выявленных в ходе мероприятий по муниципальному контролю за обеспечением сохранности муниципальных автомобильных дорог, а также по предписаниям федеральных органов исполнительной власти, уполномоченных осуществлять на территории городского округа государственный контроль за использованием и сохранностью автомобильных дорог, безопасностью дорожного движения. Устранение деформаций и повреждений проведено на участках дорожного покрытия общей площадью 24,7 тыс. кв. метров, протяжённость отремонтированных участков составила 16,852 тыс.метров. В 2018 году проведены работы по летнему и зимнему содержанию муниципальных автомобильных дорог и элементов их обустройства</w:t>
      </w:r>
      <w:r w:rsidR="002D7C2C">
        <w:rPr>
          <w:rFonts w:cs="Times New Roman"/>
        </w:rPr>
        <w:t xml:space="preserve">. </w:t>
      </w:r>
    </w:p>
    <w:p w:rsidR="002948BE" w:rsidRDefault="002948BE" w:rsidP="00FE4282">
      <w:pPr>
        <w:ind w:firstLine="540"/>
        <w:jc w:val="both"/>
        <w:rPr>
          <w:rFonts w:cs="Times New Roman"/>
        </w:rPr>
      </w:pPr>
      <w:r w:rsidRPr="002948BE">
        <w:rPr>
          <w:rFonts w:cs="Times New Roman"/>
        </w:rPr>
        <w:t>В прогнозном периоде строительство и реконструкция объектов дорожно- транспортной инфраструктуры не планируется. 100% дорог имеют усовершенствованное покрытие. В этой связи  увеличение протяженности дорог с твердым типом покрытия на прогнозный период не прогнозируется.</w:t>
      </w:r>
    </w:p>
    <w:p w:rsidR="002948BE" w:rsidRPr="002948BE" w:rsidRDefault="002948BE" w:rsidP="00FE4282">
      <w:pPr>
        <w:ind w:firstLine="540"/>
        <w:jc w:val="both"/>
        <w:rPr>
          <w:rFonts w:cs="Times New Roman"/>
        </w:rPr>
      </w:pPr>
    </w:p>
    <w:p w:rsidR="00FE4282" w:rsidRPr="00DA3CB8" w:rsidRDefault="0053125A" w:rsidP="00FE4282">
      <w:pPr>
        <w:ind w:firstLine="540"/>
        <w:jc w:val="both"/>
        <w:rPr>
          <w:rFonts w:cs="Times New Roman"/>
          <w:b/>
        </w:rPr>
      </w:pPr>
      <w:r w:rsidRPr="00DA3CB8">
        <w:rPr>
          <w:rFonts w:cs="Times New Roman"/>
          <w:b/>
          <w:bCs/>
        </w:rPr>
        <w:t>Малое и среднее предпринимательство</w:t>
      </w:r>
      <w:r w:rsidR="00FE4282" w:rsidRPr="00DA3CB8">
        <w:rPr>
          <w:rFonts w:cs="Times New Roman"/>
          <w:b/>
        </w:rPr>
        <w:t>.</w:t>
      </w:r>
    </w:p>
    <w:p w:rsidR="0053125A" w:rsidRPr="00DA3CB8" w:rsidRDefault="00DA3CB8" w:rsidP="00FE4282">
      <w:pPr>
        <w:ind w:firstLine="540"/>
        <w:jc w:val="both"/>
        <w:rPr>
          <w:rFonts w:cs="Times New Roman"/>
        </w:rPr>
      </w:pPr>
      <w:r w:rsidRPr="00DA3CB8">
        <w:rPr>
          <w:rFonts w:cs="Times New Roman"/>
        </w:rPr>
        <w:t xml:space="preserve">По состоянию на 1 января 2019 года в городском округе Электросталь Московской области функционировал 5291 субъект малого и среднего предпринимательства </w:t>
      </w:r>
      <w:r w:rsidR="002F5655">
        <w:rPr>
          <w:rFonts w:cs="Times New Roman"/>
        </w:rPr>
        <w:t xml:space="preserve">                                 </w:t>
      </w:r>
      <w:r w:rsidRPr="00DA3CB8">
        <w:rPr>
          <w:rFonts w:cs="Times New Roman"/>
        </w:rPr>
        <w:t xml:space="preserve">(далее – МСП), в том числе: 2283 юридических лица, 3008 </w:t>
      </w:r>
      <w:r w:rsidR="002D7C2C">
        <w:rPr>
          <w:rFonts w:cs="Times New Roman"/>
        </w:rPr>
        <w:t>индивидуальны</w:t>
      </w:r>
      <w:r w:rsidR="002F5655">
        <w:rPr>
          <w:rFonts w:cs="Times New Roman"/>
        </w:rPr>
        <w:t>х</w:t>
      </w:r>
      <w:r w:rsidR="002D7C2C">
        <w:rPr>
          <w:rFonts w:cs="Times New Roman"/>
        </w:rPr>
        <w:t xml:space="preserve"> предпринимател</w:t>
      </w:r>
      <w:r w:rsidR="002F5655">
        <w:rPr>
          <w:rFonts w:cs="Times New Roman"/>
        </w:rPr>
        <w:t>ей</w:t>
      </w:r>
      <w:r w:rsidRPr="00DA3CB8">
        <w:rPr>
          <w:rFonts w:cs="Times New Roman"/>
        </w:rPr>
        <w:t xml:space="preserve">. На тысячу жителей муниципального образования приходится </w:t>
      </w:r>
      <w:r w:rsidR="00D77E3D">
        <w:rPr>
          <w:rFonts w:cs="Times New Roman"/>
        </w:rPr>
        <w:t xml:space="preserve">                 </w:t>
      </w:r>
      <w:r w:rsidRPr="00DA3CB8">
        <w:rPr>
          <w:rFonts w:cs="Times New Roman"/>
        </w:rPr>
        <w:t>13,7 предприятий МСП (без учета ИП). Число субъектов МСП (в том числе ИП) в расчете на 10,0 тыс. человек населения составляет 318,3. Среднесписочная численность работающих в организациях МСП (без учета ИП) 11</w:t>
      </w:r>
      <w:r w:rsidR="002D7C2C">
        <w:rPr>
          <w:rFonts w:cs="Times New Roman"/>
        </w:rPr>
        <w:t>,9 тыс.</w:t>
      </w:r>
      <w:r w:rsidRPr="00DA3CB8">
        <w:rPr>
          <w:rFonts w:cs="Times New Roman"/>
        </w:rPr>
        <w:t xml:space="preserve"> человек. Общий объем отгруженной продукции, выполненных работ и услуг предприятиями МСП за 2018 год составил 25,5 млрд.руб., или 39,7 % от общей суммы отгруженной продукции всех предприятий города. Среднемесячная заработная плата на предприятиях МСП – </w:t>
      </w:r>
      <w:r w:rsidR="002D7C2C">
        <w:rPr>
          <w:rFonts w:cs="Times New Roman"/>
        </w:rPr>
        <w:t>29,25</w:t>
      </w:r>
      <w:r w:rsidRPr="00DA3CB8">
        <w:rPr>
          <w:rFonts w:cs="Times New Roman"/>
        </w:rPr>
        <w:t xml:space="preserve"> тыс. руб. 33% налоговых поступлений в доход местного бюджета приходится на поступления от деятельности субъектов МСП.</w:t>
      </w:r>
    </w:p>
    <w:p w:rsidR="00DA3CB8" w:rsidRPr="00DA3CB8" w:rsidRDefault="00DA3CB8" w:rsidP="00FE4282">
      <w:pPr>
        <w:ind w:firstLine="540"/>
        <w:jc w:val="both"/>
        <w:rPr>
          <w:rFonts w:cs="Times New Roman"/>
        </w:rPr>
      </w:pPr>
      <w:r w:rsidRPr="00DA3CB8">
        <w:rPr>
          <w:rFonts w:cs="Times New Roman"/>
        </w:rPr>
        <w:t xml:space="preserve">В 2018 году наблюдается рост средних предприятий по отношению к 2017 году. Данная ситуация обусловлена регулярной работой, проводимой Администрацией </w:t>
      </w:r>
      <w:r w:rsidR="00D77E3D">
        <w:rPr>
          <w:rFonts w:cs="Times New Roman"/>
        </w:rPr>
        <w:t xml:space="preserve">                 </w:t>
      </w:r>
      <w:r w:rsidRPr="00DA3CB8">
        <w:rPr>
          <w:rFonts w:cs="Times New Roman"/>
        </w:rPr>
        <w:t>г.о. Электросталь. В рамках реализации мероприятия «Организация и проведение семинаров по актуальным вопросам развития» на территории городского округа Электросталь Московской области» в 2018 году проведены обучающие семинары</w:t>
      </w:r>
      <w:r w:rsidR="002D7C2C">
        <w:rPr>
          <w:rFonts w:cs="Times New Roman"/>
        </w:rPr>
        <w:t xml:space="preserve">, </w:t>
      </w:r>
      <w:r w:rsidRPr="00DA3CB8">
        <w:rPr>
          <w:rFonts w:cs="Times New Roman"/>
        </w:rPr>
        <w:t>в рамках которых было обучено 300 человек</w:t>
      </w:r>
      <w:r w:rsidR="002D7C2C">
        <w:rPr>
          <w:rFonts w:cs="Times New Roman"/>
        </w:rPr>
        <w:t>.</w:t>
      </w:r>
      <w:r w:rsidRPr="00DA3CB8">
        <w:rPr>
          <w:rFonts w:cs="Times New Roman"/>
        </w:rPr>
        <w:t xml:space="preserve"> По итогам 2018 года консультацию получили порядка 349 предпринимателей.  В рамках имущественной поддержки субъектов малого и среднего предпринимательства в 2018 году заключено 3 договора купли-продажи объектов недвижимости.</w:t>
      </w:r>
    </w:p>
    <w:p w:rsidR="00DA3CB8" w:rsidRPr="00DA3CB8" w:rsidRDefault="00DA3CB8" w:rsidP="00FE4282">
      <w:pPr>
        <w:ind w:firstLine="540"/>
        <w:jc w:val="both"/>
        <w:rPr>
          <w:rFonts w:cs="Times New Roman"/>
        </w:rPr>
      </w:pPr>
      <w:r w:rsidRPr="00DA3CB8">
        <w:rPr>
          <w:rFonts w:cs="Times New Roman"/>
        </w:rPr>
        <w:t xml:space="preserve">В городском округе Электросталь разработана и действует муниципальная программа поддержки предпринимательства. В рамках программы предусмотрена финансовая поддержка, имущественная, информационная. В 2018 году на территории города создан коворкинг-центр. В 2019 году на базе созданного коворкинг-центра будут проводиться регулярные встречи Администрации </w:t>
      </w:r>
      <w:r w:rsidR="002D7C2C">
        <w:rPr>
          <w:rFonts w:cs="Times New Roman"/>
        </w:rPr>
        <w:t>городского округа</w:t>
      </w:r>
      <w:r w:rsidRPr="00DA3CB8">
        <w:rPr>
          <w:rFonts w:cs="Times New Roman"/>
        </w:rPr>
        <w:t xml:space="preserve"> Электросталь с предприним</w:t>
      </w:r>
      <w:r w:rsidR="002D7C2C">
        <w:rPr>
          <w:rFonts w:cs="Times New Roman"/>
        </w:rPr>
        <w:t>а</w:t>
      </w:r>
      <w:r w:rsidRPr="00DA3CB8">
        <w:rPr>
          <w:rFonts w:cs="Times New Roman"/>
        </w:rPr>
        <w:t>тельским сообществом.  В настоящее время прорабатывается вопрос с</w:t>
      </w:r>
      <w:r>
        <w:rPr>
          <w:rFonts w:cs="Times New Roman"/>
        </w:rPr>
        <w:t>отрудничества с госкорпорацией «Росатом»</w:t>
      </w:r>
      <w:r w:rsidRPr="00DA3CB8">
        <w:rPr>
          <w:rFonts w:cs="Times New Roman"/>
        </w:rPr>
        <w:t xml:space="preserve"> с целью применения кейсов корпорации для развития бизнеса в городском округе.</w:t>
      </w:r>
    </w:p>
    <w:p w:rsidR="002D7C2C" w:rsidRDefault="002D7C2C" w:rsidP="00400D86">
      <w:pPr>
        <w:pStyle w:val="a5"/>
        <w:spacing w:before="0" w:after="0"/>
        <w:ind w:firstLine="540"/>
        <w:jc w:val="both"/>
        <w:rPr>
          <w:rFonts w:ascii="Times New Roman" w:hAnsi="Times New Roman"/>
          <w:b/>
          <w:bCs/>
          <w:spacing w:val="-1"/>
        </w:rPr>
      </w:pPr>
    </w:p>
    <w:p w:rsidR="00FE4282" w:rsidRPr="00400D86" w:rsidRDefault="00FE4282" w:rsidP="00400D86">
      <w:pPr>
        <w:pStyle w:val="a5"/>
        <w:spacing w:before="0" w:after="0"/>
        <w:ind w:firstLine="540"/>
        <w:jc w:val="both"/>
        <w:rPr>
          <w:rFonts w:ascii="Times New Roman" w:hAnsi="Times New Roman"/>
          <w:b/>
          <w:bCs/>
          <w:spacing w:val="-1"/>
        </w:rPr>
      </w:pPr>
      <w:r w:rsidRPr="00400D86">
        <w:rPr>
          <w:rFonts w:ascii="Times New Roman" w:hAnsi="Times New Roman"/>
          <w:b/>
          <w:bCs/>
          <w:spacing w:val="-1"/>
        </w:rPr>
        <w:t>Инвестиции.</w:t>
      </w:r>
    </w:p>
    <w:p w:rsidR="00695D3C" w:rsidRDefault="00DC292A" w:rsidP="00BF757B">
      <w:pPr>
        <w:ind w:firstLine="567"/>
        <w:jc w:val="both"/>
        <w:rPr>
          <w:rFonts w:cs="Times New Roman"/>
        </w:rPr>
      </w:pPr>
      <w:r w:rsidRPr="00DC292A">
        <w:rPr>
          <w:rFonts w:cs="Times New Roman"/>
        </w:rPr>
        <w:t xml:space="preserve">Объем инвестиций в основной капитал в 2018 году за счет всех источников финансирования по городскому округу Электросталь составил 7 059,83 млн. руб., из них объем инвестиций по крупным средним предприятиям городского округа составил </w:t>
      </w:r>
      <w:r w:rsidR="002F5655">
        <w:rPr>
          <w:rFonts w:cs="Times New Roman"/>
        </w:rPr>
        <w:t xml:space="preserve">                  </w:t>
      </w:r>
      <w:r w:rsidRPr="00DC292A">
        <w:rPr>
          <w:rFonts w:cs="Times New Roman"/>
        </w:rPr>
        <w:t>4 325,03 млн.руб., по предприятиям малого бизнеса – 2 734,8 млн.руб.  Значительный рост инвестиций в 2018 году произошел в результате присоединения к городскому округу бывшего сельского поселения Степановское Ногинского района, на территории которого реализуются масштабные инвестиционные проекты в сфере сельского хозяйства. Также рост инвестиций обусловлен проведением на крупных предприятиях города модернизации производства.</w:t>
      </w:r>
    </w:p>
    <w:p w:rsidR="00BF757B" w:rsidRPr="00BF757B" w:rsidRDefault="00DC292A" w:rsidP="00DC292A">
      <w:pPr>
        <w:ind w:firstLine="567"/>
        <w:jc w:val="both"/>
        <w:rPr>
          <w:rFonts w:cs="Times New Roman"/>
          <w:b/>
          <w:i/>
        </w:rPr>
      </w:pPr>
      <w:r w:rsidRPr="00BF757B">
        <w:rPr>
          <w:rFonts w:cs="Times New Roman"/>
          <w:b/>
          <w:i/>
        </w:rPr>
        <w:t xml:space="preserve">Факторы </w:t>
      </w:r>
      <w:r w:rsidR="00BF757B" w:rsidRPr="00BF757B">
        <w:rPr>
          <w:rFonts w:cs="Times New Roman"/>
          <w:b/>
          <w:i/>
        </w:rPr>
        <w:t>влияющие на динамику показателя.</w:t>
      </w:r>
    </w:p>
    <w:p w:rsidR="00BF757B" w:rsidRPr="00BF757B" w:rsidRDefault="00DC292A" w:rsidP="00DC292A">
      <w:pPr>
        <w:ind w:firstLine="567"/>
        <w:jc w:val="both"/>
        <w:rPr>
          <w:rFonts w:cs="Times New Roman"/>
          <w:i/>
        </w:rPr>
      </w:pPr>
      <w:r w:rsidRPr="00BF757B">
        <w:rPr>
          <w:rFonts w:cs="Times New Roman"/>
          <w:i/>
        </w:rPr>
        <w:t xml:space="preserve">Сильные стороны: </w:t>
      </w:r>
    </w:p>
    <w:p w:rsidR="00BF757B" w:rsidRDefault="00BF757B" w:rsidP="00DC292A">
      <w:pPr>
        <w:ind w:firstLine="567"/>
        <w:jc w:val="both"/>
        <w:rPr>
          <w:rFonts w:cs="Times New Roman"/>
        </w:rPr>
      </w:pPr>
      <w:r>
        <w:rPr>
          <w:rFonts w:cs="Times New Roman"/>
        </w:rPr>
        <w:t>- т</w:t>
      </w:r>
      <w:r w:rsidR="00DC292A" w:rsidRPr="00DC292A">
        <w:rPr>
          <w:rFonts w:cs="Times New Roman"/>
        </w:rPr>
        <w:t xml:space="preserve">ранспортная доступность к г. Москве и соседним муниципальным образованиям, развитая транспортная инфраструктура; </w:t>
      </w:r>
    </w:p>
    <w:p w:rsidR="00BF757B" w:rsidRDefault="00BF757B" w:rsidP="00DC292A">
      <w:pPr>
        <w:ind w:firstLine="567"/>
        <w:jc w:val="both"/>
        <w:rPr>
          <w:rFonts w:cs="Times New Roman"/>
        </w:rPr>
      </w:pPr>
      <w:r>
        <w:rPr>
          <w:rFonts w:cs="Times New Roman"/>
        </w:rPr>
        <w:t xml:space="preserve">- </w:t>
      </w:r>
      <w:r w:rsidR="00DC292A" w:rsidRPr="00DC292A">
        <w:rPr>
          <w:rFonts w:cs="Times New Roman"/>
        </w:rPr>
        <w:t xml:space="preserve">высокоразвитое обрабатывающее промышленное производство;  наличие инфраструктуры поддержки предпринимательства;  </w:t>
      </w:r>
    </w:p>
    <w:p w:rsidR="00BF757B" w:rsidRDefault="00DC292A" w:rsidP="00DC292A">
      <w:pPr>
        <w:ind w:firstLine="567"/>
        <w:jc w:val="both"/>
        <w:rPr>
          <w:rFonts w:cs="Times New Roman"/>
        </w:rPr>
      </w:pPr>
      <w:r w:rsidRPr="00BF757B">
        <w:rPr>
          <w:rFonts w:cs="Times New Roman"/>
          <w:i/>
        </w:rPr>
        <w:t>Возможности:</w:t>
      </w:r>
      <w:r w:rsidRPr="00DC292A">
        <w:rPr>
          <w:rFonts w:cs="Times New Roman"/>
        </w:rPr>
        <w:t xml:space="preserve"> вовлечение в оборот свободных площадей крупных предприятий города, в т.ч. для размещения предприятий малого и среднего бизнеса; развитие сельских территорий;  </w:t>
      </w:r>
    </w:p>
    <w:p w:rsidR="00BF757B" w:rsidRDefault="00DC292A" w:rsidP="00DC292A">
      <w:pPr>
        <w:ind w:firstLine="567"/>
        <w:jc w:val="both"/>
        <w:rPr>
          <w:rFonts w:cs="Times New Roman"/>
        </w:rPr>
      </w:pPr>
      <w:r w:rsidRPr="00BF757B">
        <w:rPr>
          <w:rFonts w:cs="Times New Roman"/>
          <w:i/>
        </w:rPr>
        <w:t>Слабые стороны:</w:t>
      </w:r>
      <w:r w:rsidRPr="00DC292A">
        <w:rPr>
          <w:rFonts w:cs="Times New Roman"/>
        </w:rPr>
        <w:t xml:space="preserve"> снижение доли трудоспособного населения; масштабная трудовая миграция в Москву и соседние муниципальные образования; отсутствие свободных земельных участков по развитие промышленного производства; отставание строительства городских систем инженерного обеспечения, требующее реконструкции и модернизации. </w:t>
      </w:r>
    </w:p>
    <w:p w:rsidR="00BF757B" w:rsidRDefault="00DC292A" w:rsidP="00DC292A">
      <w:pPr>
        <w:ind w:firstLine="567"/>
        <w:jc w:val="both"/>
        <w:rPr>
          <w:rFonts w:cs="Times New Roman"/>
        </w:rPr>
      </w:pPr>
      <w:r w:rsidRPr="00BF757B">
        <w:rPr>
          <w:rFonts w:cs="Times New Roman"/>
          <w:i/>
        </w:rPr>
        <w:t>Угрозы:</w:t>
      </w:r>
      <w:r w:rsidRPr="00DC292A">
        <w:rPr>
          <w:rFonts w:cs="Times New Roman"/>
        </w:rPr>
        <w:t xml:space="preserve"> неблагоприятная экологическая обстановка; конкуренция за инвесторов с другими муниципальными образованиями Московской области; снижение</w:t>
      </w:r>
      <w:r w:rsidR="00BF757B">
        <w:rPr>
          <w:rFonts w:cs="Times New Roman"/>
        </w:rPr>
        <w:t xml:space="preserve"> темпов экономического развития.</w:t>
      </w:r>
    </w:p>
    <w:p w:rsidR="00DC292A" w:rsidRDefault="00DC292A" w:rsidP="00DC292A">
      <w:pPr>
        <w:ind w:firstLine="567"/>
        <w:jc w:val="both"/>
        <w:rPr>
          <w:rFonts w:cs="Times New Roman"/>
        </w:rPr>
      </w:pPr>
      <w:r w:rsidRPr="00DC292A">
        <w:rPr>
          <w:rFonts w:cs="Times New Roman"/>
        </w:rPr>
        <w:t xml:space="preserve">  </w:t>
      </w:r>
      <w:r w:rsidRPr="00BF757B">
        <w:rPr>
          <w:rFonts w:cs="Times New Roman"/>
          <w:i/>
        </w:rPr>
        <w:t>Вывод:</w:t>
      </w:r>
      <w:r w:rsidRPr="00DC292A">
        <w:rPr>
          <w:rFonts w:cs="Times New Roman"/>
        </w:rPr>
        <w:t xml:space="preserve"> На территории городского округа Электросталь в «старых» границах (до присоединения территории сельского поселения Степановское), практически исчерпан ресурс по земельным участкам для промышленного развития, поэтому основная задача Администрации городского округа, совместно с руководителями крупных предприятий, привлечь инвесторов для размещения на свободных площадях этих предприятий новых производств и инновационных технологий, не в ущерб экологической обстановке. </w:t>
      </w:r>
      <w:r w:rsidR="00D77E3D">
        <w:rPr>
          <w:rFonts w:cs="Times New Roman"/>
        </w:rPr>
        <w:t xml:space="preserve">                     </w:t>
      </w:r>
      <w:r w:rsidRPr="00DC292A">
        <w:rPr>
          <w:rFonts w:cs="Times New Roman"/>
        </w:rPr>
        <w:t>Со вступлением в силу с 01.01.2018 закона Московской области от 08.06.2017 №87/2017-ОЗ «Об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площадь городского округа Электросталь увеличилась более, чем в 1,5 раза.  Однако баланс присоединенных территорий не способствует улучшению ситуации: в соответствии с проектом внесения изменений в генеральный план городского округа в зоне лесов находится 3 304,43 га (39% присоединенной территории), в зоне сельскохозяйственного назначения – 3 692,97 га (44% присоединенной территории), остальная территория (земли промышленной, жилой застройки, рекреационного назначения) уже введены в оборот.</w:t>
      </w:r>
    </w:p>
    <w:p w:rsidR="00DC292A" w:rsidRPr="00BF757B" w:rsidRDefault="00DC292A" w:rsidP="00DC292A">
      <w:pPr>
        <w:ind w:firstLine="567"/>
        <w:jc w:val="both"/>
        <w:rPr>
          <w:rFonts w:cs="Times New Roman"/>
          <w:i/>
        </w:rPr>
      </w:pPr>
      <w:r w:rsidRPr="00BF757B">
        <w:rPr>
          <w:rFonts w:cs="Times New Roman"/>
          <w:i/>
        </w:rPr>
        <w:t xml:space="preserve">Основные направления деятельности по привлечению инвестиций:  </w:t>
      </w:r>
    </w:p>
    <w:p w:rsidR="00DC292A" w:rsidRDefault="00DC292A" w:rsidP="00DC292A">
      <w:pPr>
        <w:ind w:firstLine="567"/>
        <w:jc w:val="both"/>
        <w:rPr>
          <w:rFonts w:cs="Times New Roman"/>
        </w:rPr>
      </w:pPr>
      <w:r w:rsidRPr="00DC292A">
        <w:rPr>
          <w:rFonts w:cs="Times New Roman"/>
        </w:rPr>
        <w:t xml:space="preserve">- развитие индустриального парка «Металлург»; </w:t>
      </w:r>
    </w:p>
    <w:p w:rsidR="00DC292A" w:rsidRDefault="00DC292A" w:rsidP="00DC292A">
      <w:pPr>
        <w:ind w:firstLine="567"/>
        <w:jc w:val="both"/>
        <w:rPr>
          <w:rFonts w:cs="Times New Roman"/>
        </w:rPr>
      </w:pPr>
      <w:r w:rsidRPr="00DC292A">
        <w:rPr>
          <w:rFonts w:cs="Times New Roman"/>
        </w:rPr>
        <w:t xml:space="preserve">- вовлечение в оборот (интенсификация использования) имеющихся резервных производственных площадей, которые предприятия готовы использовать с целью предоставления в аренду или выкупа, в том числе субъектам малого и среднего предпринимательства; </w:t>
      </w:r>
    </w:p>
    <w:p w:rsidR="00DC292A" w:rsidRDefault="00DC292A" w:rsidP="00DC292A">
      <w:pPr>
        <w:ind w:firstLine="567"/>
        <w:jc w:val="both"/>
        <w:rPr>
          <w:rFonts w:cs="Times New Roman"/>
        </w:rPr>
      </w:pPr>
      <w:r w:rsidRPr="00DC292A">
        <w:rPr>
          <w:rFonts w:cs="Times New Roman"/>
        </w:rPr>
        <w:t>- информирование предпринимателей о мерах государстве</w:t>
      </w:r>
      <w:r w:rsidR="00BF757B">
        <w:rPr>
          <w:rFonts w:cs="Times New Roman"/>
        </w:rPr>
        <w:t>нной и муниципальной поддержки;</w:t>
      </w:r>
      <w:r w:rsidRPr="00DC292A">
        <w:rPr>
          <w:rFonts w:cs="Times New Roman"/>
        </w:rPr>
        <w:t xml:space="preserve"> </w:t>
      </w:r>
    </w:p>
    <w:p w:rsidR="00DC292A" w:rsidRPr="00DC292A" w:rsidRDefault="00DC292A" w:rsidP="00DC292A">
      <w:pPr>
        <w:ind w:firstLine="567"/>
        <w:jc w:val="both"/>
        <w:rPr>
          <w:rFonts w:cs="Times New Roman"/>
        </w:rPr>
      </w:pPr>
      <w:r w:rsidRPr="00DC292A">
        <w:rPr>
          <w:rFonts w:cs="Times New Roman"/>
        </w:rPr>
        <w:t>- сопровождение инвестиционных проектов малого и среднего предпринимательства.</w:t>
      </w:r>
    </w:p>
    <w:p w:rsidR="00DC292A" w:rsidRPr="00400D86" w:rsidRDefault="00DC292A" w:rsidP="00FE4282">
      <w:pPr>
        <w:ind w:firstLine="567"/>
        <w:rPr>
          <w:rFonts w:cs="Times New Roman"/>
          <w:b/>
        </w:rPr>
      </w:pPr>
    </w:p>
    <w:p w:rsidR="00400D86" w:rsidRDefault="00532B35" w:rsidP="00FE4282">
      <w:pPr>
        <w:ind w:firstLine="567"/>
        <w:jc w:val="both"/>
        <w:rPr>
          <w:rFonts w:cs="Times New Roman"/>
          <w:b/>
          <w:bCs/>
          <w:color w:val="333333"/>
        </w:rPr>
      </w:pPr>
      <w:r w:rsidRPr="00532B35">
        <w:rPr>
          <w:rFonts w:cs="Times New Roman"/>
          <w:b/>
          <w:bCs/>
          <w:color w:val="333333"/>
        </w:rPr>
        <w:t>Строительство и жилищно-коммунальное хозяйство</w:t>
      </w:r>
      <w:r>
        <w:rPr>
          <w:rFonts w:cs="Times New Roman"/>
          <w:b/>
          <w:bCs/>
          <w:color w:val="333333"/>
        </w:rPr>
        <w:t>.</w:t>
      </w:r>
    </w:p>
    <w:p w:rsidR="00532B35" w:rsidRPr="00532B35" w:rsidRDefault="00532B35" w:rsidP="00FE4282">
      <w:pPr>
        <w:ind w:firstLine="567"/>
        <w:jc w:val="both"/>
        <w:rPr>
          <w:rFonts w:cs="Times New Roman"/>
          <w:b/>
          <w:bCs/>
          <w:i/>
          <w:color w:val="333333"/>
        </w:rPr>
      </w:pPr>
      <w:r w:rsidRPr="00532B35">
        <w:rPr>
          <w:rFonts w:cs="Times New Roman"/>
          <w:b/>
          <w:bCs/>
          <w:i/>
          <w:color w:val="333333"/>
        </w:rPr>
        <w:t>Объем работ, выполненных по виду экономической деятельности «Строительство»</w:t>
      </w:r>
    </w:p>
    <w:p w:rsidR="003B7096" w:rsidRDefault="00532B35" w:rsidP="00FE4282">
      <w:pPr>
        <w:ind w:firstLine="567"/>
        <w:jc w:val="both"/>
        <w:rPr>
          <w:rFonts w:cs="Times New Roman"/>
        </w:rPr>
      </w:pPr>
      <w:r w:rsidRPr="00532B35">
        <w:rPr>
          <w:rFonts w:cs="Times New Roman"/>
        </w:rPr>
        <w:t xml:space="preserve">Основными факторами, влияющими на строительный рынок, являются: устойчивость валютного курса, инфляция, спрос - предложение на недвижимость, доступность кредитования и государственных источников финансирования. </w:t>
      </w:r>
    </w:p>
    <w:p w:rsidR="00CC47F5" w:rsidRDefault="00532B35" w:rsidP="00FE4282">
      <w:pPr>
        <w:ind w:firstLine="567"/>
        <w:jc w:val="both"/>
        <w:rPr>
          <w:rFonts w:cs="Times New Roman"/>
        </w:rPr>
      </w:pPr>
      <w:r w:rsidRPr="00532B35">
        <w:rPr>
          <w:rFonts w:cs="Times New Roman"/>
        </w:rPr>
        <w:t xml:space="preserve">Важнейшим сегментом строительной отрасли является жилищное строительство, что подтверждается также статистикой ввода в эксплуатацию на территории городского округа Электросталь жилых домов. В 2019 году планируется ввести в эксплуатацию </w:t>
      </w:r>
      <w:r w:rsidR="002F5655">
        <w:rPr>
          <w:rFonts w:cs="Times New Roman"/>
        </w:rPr>
        <w:t xml:space="preserve">                   </w:t>
      </w:r>
      <w:r w:rsidRPr="00532B35">
        <w:rPr>
          <w:rFonts w:cs="Times New Roman"/>
        </w:rPr>
        <w:t>34,2 тыс.кв.метров жилья, в том числе 6,2 тыс.кв.метров жилья, построенного населением за счет собственных средств.  Ввиду отсутствия на территории городского округа земельных участков для дальнейшего промышленного развития, строительство крупных промышленных объектов не планируется. В тоже время, наличие на территориях действующих промышленных предприятий свободных производственных площадей, обеспечивает возможность строительства  новых производственно-коммунальных зон (производственно-складских комплексов, производственных зданий и пр.). На площадях агропарка VictoriaIndustrialPark осуществляется активное строительство тепличных комплексов по выращиванию овощей. Все это,</w:t>
      </w:r>
      <w:r w:rsidR="00885137">
        <w:rPr>
          <w:rFonts w:cs="Times New Roman"/>
        </w:rPr>
        <w:t xml:space="preserve"> </w:t>
      </w:r>
      <w:r w:rsidRPr="00532B35">
        <w:rPr>
          <w:rFonts w:cs="Times New Roman"/>
        </w:rPr>
        <w:t>в совокупности, и обеспечивает удержание в стабильных для городского округа Электросталь значениях объема работ, выполненных по виду экономической деятельности «Строительство»</w:t>
      </w:r>
      <w:r w:rsidR="00885137">
        <w:rPr>
          <w:rFonts w:cs="Times New Roman"/>
        </w:rPr>
        <w:t>,</w:t>
      </w:r>
      <w:r w:rsidRPr="00532B35">
        <w:rPr>
          <w:rFonts w:cs="Times New Roman"/>
        </w:rPr>
        <w:t xml:space="preserve"> с темпом роста 100%</w:t>
      </w:r>
      <w:r>
        <w:rPr>
          <w:rFonts w:cs="Times New Roman"/>
        </w:rPr>
        <w:t>.</w:t>
      </w:r>
    </w:p>
    <w:p w:rsidR="00532B35" w:rsidRDefault="00532B35" w:rsidP="00FE4282">
      <w:pPr>
        <w:ind w:firstLine="567"/>
        <w:jc w:val="both"/>
        <w:rPr>
          <w:rFonts w:cs="Times New Roman"/>
        </w:rPr>
      </w:pPr>
      <w:r w:rsidRPr="00532B35">
        <w:rPr>
          <w:rFonts w:cs="Times New Roman"/>
        </w:rPr>
        <w:t xml:space="preserve">В прогнозном периоде строительство на территории городского округа Электросталь крупных промышленных объектов не планируется. Стабильное удержание темпов роста по виду деятельности «Строительство» в прогнозном периоде обеспечит строительство на территории городского округа жилых зданий.  Основным источником финансирования инвестиций в жилищном строительстве являются привлеченные средства, в основном за счет значительной доли банковских кредитов, а также за счет средств населения. </w:t>
      </w:r>
      <w:r w:rsidR="00D77E3D">
        <w:rPr>
          <w:rFonts w:cs="Times New Roman"/>
        </w:rPr>
        <w:t xml:space="preserve">                        </w:t>
      </w:r>
      <w:r w:rsidRPr="00532B35">
        <w:rPr>
          <w:rFonts w:cs="Times New Roman"/>
        </w:rPr>
        <w:t>С привлечением механизмов ипотечного кредитования спрос на жилье в городском округе ежегодно растет. Также на рост объема показателя существенное влияние окажет развитие индустриальных парков: «Металлург», расположенного на базе системообразующего предприятия АО «МЗ «Электросталь»; «ЭЛКО» на базе предприятия ЗАО ТПК «ЭЛКО»; VictoriaIndustrialPark.</w:t>
      </w:r>
    </w:p>
    <w:p w:rsidR="00532B35" w:rsidRDefault="00532B35" w:rsidP="00FE4282">
      <w:pPr>
        <w:ind w:firstLine="567"/>
        <w:jc w:val="both"/>
        <w:rPr>
          <w:rFonts w:cs="Times New Roman"/>
        </w:rPr>
      </w:pPr>
    </w:p>
    <w:p w:rsidR="00532B35" w:rsidRDefault="00532B35" w:rsidP="00FE4282">
      <w:pPr>
        <w:ind w:firstLine="567"/>
        <w:jc w:val="both"/>
        <w:rPr>
          <w:rFonts w:cs="Times New Roman"/>
          <w:b/>
          <w:i/>
        </w:rPr>
      </w:pPr>
      <w:r w:rsidRPr="00532B35">
        <w:rPr>
          <w:rFonts w:cs="Times New Roman"/>
          <w:b/>
          <w:i/>
        </w:rPr>
        <w:t>Ввод в действие жилых домов, построенных за счёт всех источников финансирования</w:t>
      </w:r>
      <w:r>
        <w:rPr>
          <w:rFonts w:cs="Times New Roman"/>
          <w:b/>
          <w:i/>
        </w:rPr>
        <w:t>.</w:t>
      </w:r>
    </w:p>
    <w:p w:rsidR="00532B35" w:rsidRDefault="00532B35" w:rsidP="00FE4282">
      <w:pPr>
        <w:ind w:firstLine="567"/>
        <w:jc w:val="both"/>
        <w:rPr>
          <w:rFonts w:cs="Times New Roman"/>
        </w:rPr>
      </w:pPr>
      <w:r w:rsidRPr="00532B35">
        <w:rPr>
          <w:rFonts w:cs="Times New Roman"/>
        </w:rPr>
        <w:t xml:space="preserve">Общая площадь жилых помещений в городском округе, введенная в действие  </w:t>
      </w:r>
      <w:r w:rsidR="002F5655">
        <w:rPr>
          <w:rFonts w:cs="Times New Roman"/>
        </w:rPr>
        <w:t xml:space="preserve">                      </w:t>
      </w:r>
      <w:r w:rsidRPr="00532B35">
        <w:rPr>
          <w:rFonts w:cs="Times New Roman"/>
        </w:rPr>
        <w:t>в 2018 году составила 7,395 тыс. кв. метров, фактическая стоимость введенных жилых домов составила 465,2 млн.руб., это многоквартирный жилой дом № 6 по адресу: Московская область, г.о. Электроста</w:t>
      </w:r>
      <w:r w:rsidR="00885137">
        <w:rPr>
          <w:rFonts w:cs="Times New Roman"/>
        </w:rPr>
        <w:t xml:space="preserve">ль, ул. Захарченко застройщик - </w:t>
      </w:r>
      <w:r w:rsidRPr="00532B35">
        <w:rPr>
          <w:rFonts w:cs="Times New Roman"/>
        </w:rPr>
        <w:t>АО «СЗ «Виктория Девелопмент».</w:t>
      </w:r>
    </w:p>
    <w:p w:rsidR="00885137" w:rsidRDefault="00532B35" w:rsidP="00FE4282">
      <w:pPr>
        <w:ind w:firstLine="567"/>
        <w:jc w:val="both"/>
        <w:rPr>
          <w:rFonts w:cs="Times New Roman"/>
        </w:rPr>
      </w:pPr>
      <w:r w:rsidRPr="00532B35">
        <w:rPr>
          <w:rFonts w:cs="Times New Roman"/>
        </w:rPr>
        <w:t>В 2019 году планиру</w:t>
      </w:r>
      <w:r w:rsidR="00885137">
        <w:rPr>
          <w:rFonts w:cs="Times New Roman"/>
        </w:rPr>
        <w:t>ется ввести в эксплуатацию 28 ты</w:t>
      </w:r>
      <w:r w:rsidRPr="00532B35">
        <w:rPr>
          <w:rFonts w:cs="Times New Roman"/>
        </w:rPr>
        <w:t xml:space="preserve">с. кв.м. жилой площади, в том числе: 15 641,8 кв.м. жилой дом № 25-26, ул. Ялагина застройщиком ЗАО «Ойкумена»;  </w:t>
      </w:r>
      <w:r w:rsidR="002F5655">
        <w:rPr>
          <w:rFonts w:cs="Times New Roman"/>
        </w:rPr>
        <w:t xml:space="preserve">               </w:t>
      </w:r>
      <w:r w:rsidRPr="00532B35">
        <w:rPr>
          <w:rFonts w:cs="Times New Roman"/>
        </w:rPr>
        <w:t xml:space="preserve">9 846,10 кв.м. жилой между Ногинским шоссе и проспектом Ленина позиция №1, застройщик АО «ЮИТ Московский регион».  </w:t>
      </w:r>
    </w:p>
    <w:p w:rsidR="00885137" w:rsidRDefault="00532B35" w:rsidP="00FE4282">
      <w:pPr>
        <w:ind w:firstLine="567"/>
        <w:jc w:val="both"/>
        <w:rPr>
          <w:rFonts w:cs="Times New Roman"/>
        </w:rPr>
      </w:pPr>
      <w:r w:rsidRPr="00532B35">
        <w:rPr>
          <w:rFonts w:cs="Times New Roman"/>
        </w:rPr>
        <w:t xml:space="preserve">В  2020 году планируется ввести в эксплуатацию жилой площади всего 44,3 тыс. кв.м., в том числе: 9 173,40 кв.м. - многоквартирный жилой квартал между Ногинским шоссе и проспектом Ленина позиция № 2 застройщик АО «ЮИТ Московский регион»;  </w:t>
      </w:r>
      <w:r w:rsidR="002F5655">
        <w:rPr>
          <w:rFonts w:cs="Times New Roman"/>
        </w:rPr>
        <w:t xml:space="preserve">      </w:t>
      </w:r>
      <w:r w:rsidRPr="00532B35">
        <w:rPr>
          <w:rFonts w:cs="Times New Roman"/>
        </w:rPr>
        <w:t xml:space="preserve">32 660, 8 кв.м. - многоквартирный жилой дом № 4 (стр.) ул. Захарченко застройщик, </w:t>
      </w:r>
      <w:r w:rsidR="00D77E3D">
        <w:rPr>
          <w:rFonts w:cs="Times New Roman"/>
        </w:rPr>
        <w:t xml:space="preserve">                </w:t>
      </w:r>
      <w:r w:rsidRPr="00532B35">
        <w:rPr>
          <w:rFonts w:cs="Times New Roman"/>
        </w:rPr>
        <w:t xml:space="preserve">АО «СЗ «Виктория Девелопмент».  </w:t>
      </w:r>
    </w:p>
    <w:p w:rsidR="00532B35" w:rsidRDefault="00532B35" w:rsidP="00FE4282">
      <w:pPr>
        <w:ind w:firstLine="567"/>
        <w:jc w:val="both"/>
        <w:rPr>
          <w:rFonts w:cs="Times New Roman"/>
        </w:rPr>
      </w:pPr>
      <w:r w:rsidRPr="00532B35">
        <w:rPr>
          <w:rFonts w:cs="Times New Roman"/>
        </w:rPr>
        <w:t>В 2021 году- 2,3 тыс.кв.м, 2022 - 8,5 тыс.кв.м.</w:t>
      </w:r>
    </w:p>
    <w:p w:rsidR="00532B35" w:rsidRDefault="00532B35" w:rsidP="00FE4282">
      <w:pPr>
        <w:ind w:firstLine="567"/>
        <w:jc w:val="both"/>
        <w:rPr>
          <w:rFonts w:cs="Times New Roman"/>
        </w:rPr>
      </w:pPr>
      <w:r w:rsidRPr="00532B35">
        <w:rPr>
          <w:rFonts w:cs="Times New Roman"/>
        </w:rPr>
        <w:t>После присоединения в 2018 году с.п.Степановское территория городского округа Электросталь дополняется территорией сельской застройки и открытых агроландшафтов, которая занимает преимущественно западную и южную часть муниципального образования и в полтора раза больше территории города Электросталь. Наличие свободных территорий, как в границах населенных пунктов городского округа Электросталь, так и за их пределами, экологическое благополучие в этой части муниципального образования, высокий потенциал природных ресурсов позволяют планировать объекты жилого назначения, в основном индивидуальной, малоэтажной застройки.</w:t>
      </w:r>
    </w:p>
    <w:p w:rsidR="00532B35" w:rsidRDefault="00532B35" w:rsidP="00FE4282">
      <w:pPr>
        <w:ind w:firstLine="567"/>
        <w:jc w:val="both"/>
        <w:rPr>
          <w:rFonts w:cs="Times New Roman"/>
        </w:rPr>
      </w:pPr>
      <w:r w:rsidRPr="00532B35">
        <w:rPr>
          <w:rFonts w:cs="Times New Roman"/>
        </w:rPr>
        <w:t>Переселение граждан из аварийного фонда планируются в рамках государственно</w:t>
      </w:r>
      <w:r>
        <w:rPr>
          <w:rFonts w:cs="Times New Roman"/>
        </w:rPr>
        <w:t>й программы Московской области «</w:t>
      </w:r>
      <w:r w:rsidRPr="00532B35">
        <w:rPr>
          <w:rFonts w:cs="Times New Roman"/>
        </w:rPr>
        <w:t>Переселение граждан из аварийного жилищного фонда в Московской области  на 2019-2025 гг</w:t>
      </w:r>
      <w:r>
        <w:rPr>
          <w:rFonts w:cs="Times New Roman"/>
        </w:rPr>
        <w:t>»</w:t>
      </w:r>
      <w:r w:rsidRPr="00532B35">
        <w:rPr>
          <w:rFonts w:cs="Times New Roman"/>
        </w:rPr>
        <w:t xml:space="preserve"> </w:t>
      </w:r>
      <w:r w:rsidRPr="00532B35">
        <w:rPr>
          <w:rFonts w:cs="Times New Roman"/>
        </w:rPr>
        <w:tab/>
        <w:t>в соответствии со статьями 32, 86 и 89 Жилищного кодекса Российской Федерации.</w:t>
      </w:r>
    </w:p>
    <w:p w:rsidR="00532B35" w:rsidRPr="00532B35" w:rsidRDefault="00532B35" w:rsidP="00FE4282">
      <w:pPr>
        <w:ind w:firstLine="567"/>
        <w:jc w:val="both"/>
        <w:rPr>
          <w:rFonts w:cs="Times New Roman"/>
        </w:rPr>
      </w:pPr>
    </w:p>
    <w:p w:rsidR="00FE4282" w:rsidRPr="00A634BE" w:rsidRDefault="00FE4282" w:rsidP="00FE4282">
      <w:pPr>
        <w:ind w:firstLine="567"/>
        <w:jc w:val="both"/>
        <w:rPr>
          <w:rFonts w:cs="Times New Roman"/>
          <w:b/>
        </w:rPr>
      </w:pPr>
      <w:r w:rsidRPr="00A634BE">
        <w:rPr>
          <w:rFonts w:cs="Times New Roman"/>
          <w:b/>
        </w:rPr>
        <w:t>Финансы</w:t>
      </w:r>
    </w:p>
    <w:p w:rsidR="00CC47F5" w:rsidRDefault="00614C61" w:rsidP="00FE4282">
      <w:pPr>
        <w:ind w:firstLine="567"/>
        <w:jc w:val="both"/>
        <w:rPr>
          <w:rFonts w:cs="Times New Roman"/>
        </w:rPr>
      </w:pPr>
      <w:r w:rsidRPr="00614C61">
        <w:rPr>
          <w:rFonts w:cs="Times New Roman"/>
        </w:rPr>
        <w:t xml:space="preserve">Прибыль прибыльных организаций города в  2018 </w:t>
      </w:r>
      <w:r w:rsidR="00E42BF2">
        <w:rPr>
          <w:rFonts w:cs="Times New Roman"/>
        </w:rPr>
        <w:t xml:space="preserve">году составила </w:t>
      </w:r>
      <w:r w:rsidRPr="00614C61">
        <w:rPr>
          <w:rFonts w:cs="Times New Roman"/>
        </w:rPr>
        <w:t>6,245 млрд.рублей, из них крупных и средних  организаций – 4,046 млрд.рублей, что составляет 64,8 % в общем объеме прибыли, полученной предприятиями и организациями городского округа. Прибыль малых предприятий составила 2,2 млрд.руб.(35,2 % в общем объеме прибыли). Основная доля прибыли в общем объеме формируется вследствие  деятельности градообразующего предприятия ПАО «Машиностроительный завод», доля прибыли которого составляет более 47,16% в общем объеме прибыли, получаемой всеми предприятиями и организациями города. В 2018 году объем прибыли данного предприятия составил 2,2 млрд.рублей.  За период январь-апрель 2019 года прибыль крупных средних организаций городского округа, средняя численность работников которых выше 15 человек, составила 1,1 млрд</w:t>
      </w:r>
      <w:r w:rsidR="00856BE0">
        <w:rPr>
          <w:rFonts w:cs="Times New Roman"/>
        </w:rPr>
        <w:t>.</w:t>
      </w:r>
      <w:r w:rsidRPr="00614C61">
        <w:rPr>
          <w:rFonts w:cs="Times New Roman"/>
        </w:rPr>
        <w:t xml:space="preserve"> рублей, что на 27,5% ниже значения показателя за 2017 год.</w:t>
      </w:r>
    </w:p>
    <w:p w:rsidR="00856BE0" w:rsidRPr="00614C61" w:rsidRDefault="00856BE0" w:rsidP="00856BE0">
      <w:pPr>
        <w:ind w:firstLine="567"/>
        <w:jc w:val="both"/>
        <w:rPr>
          <w:rFonts w:cs="Times New Roman"/>
        </w:rPr>
      </w:pPr>
      <w:r>
        <w:rPr>
          <w:rFonts w:cs="Times New Roman"/>
        </w:rPr>
        <w:t xml:space="preserve">Основными </w:t>
      </w:r>
      <w:r w:rsidR="00614C61" w:rsidRPr="00614C61">
        <w:rPr>
          <w:rFonts w:cs="Times New Roman"/>
        </w:rPr>
        <w:t>факторами</w:t>
      </w:r>
      <w:r>
        <w:rPr>
          <w:rFonts w:cs="Times New Roman"/>
        </w:rPr>
        <w:t>,</w:t>
      </w:r>
      <w:r w:rsidR="00614C61" w:rsidRPr="00614C61">
        <w:rPr>
          <w:rFonts w:cs="Times New Roman"/>
        </w:rPr>
        <w:t xml:space="preserve"> </w:t>
      </w:r>
      <w:r w:rsidR="00E42BF2">
        <w:rPr>
          <w:rFonts w:cs="Times New Roman"/>
        </w:rPr>
        <w:t xml:space="preserve">влияющими на </w:t>
      </w:r>
      <w:r>
        <w:rPr>
          <w:rFonts w:cs="Times New Roman"/>
        </w:rPr>
        <w:t>динамику показателя</w:t>
      </w:r>
      <w:r w:rsidR="00614C61" w:rsidRPr="00614C61">
        <w:rPr>
          <w:rFonts w:cs="Times New Roman"/>
        </w:rPr>
        <w:t xml:space="preserve"> являются: рост объема производимой продукции на предприятиях городского округа, снижение ее себестоимости, повышение качества</w:t>
      </w:r>
      <w:r>
        <w:rPr>
          <w:rFonts w:cs="Times New Roman"/>
        </w:rPr>
        <w:t xml:space="preserve"> продукции</w:t>
      </w:r>
      <w:r w:rsidR="00614C61" w:rsidRPr="00614C61">
        <w:rPr>
          <w:rFonts w:cs="Times New Roman"/>
        </w:rPr>
        <w:t>, улучшение ассортимента, повышение эффективности использования производственных фондов, рост производительности труда</w:t>
      </w:r>
      <w:r>
        <w:rPr>
          <w:rFonts w:cs="Times New Roman"/>
        </w:rPr>
        <w:t xml:space="preserve">; </w:t>
      </w:r>
      <w:r w:rsidRPr="00614C61">
        <w:rPr>
          <w:rFonts w:cs="Times New Roman"/>
        </w:rPr>
        <w:t>открытие новых рынков сбыта; конкурентное преимущество; продажа или сдача в аренду неиспользуемого имущества; внедрение новейших технологий и оборудования на производстве; реструктуризация.</w:t>
      </w:r>
    </w:p>
    <w:p w:rsidR="00614C61" w:rsidRPr="00614C61" w:rsidRDefault="00614C61" w:rsidP="00FE4282">
      <w:pPr>
        <w:ind w:firstLine="567"/>
        <w:jc w:val="both"/>
        <w:rPr>
          <w:rFonts w:cs="Times New Roman"/>
        </w:rPr>
      </w:pPr>
    </w:p>
    <w:p w:rsidR="00614C61" w:rsidRPr="00614C61" w:rsidRDefault="00614C61" w:rsidP="00FE4282">
      <w:pPr>
        <w:ind w:firstLine="567"/>
        <w:jc w:val="both"/>
        <w:rPr>
          <w:rFonts w:cs="Times New Roman"/>
        </w:rPr>
      </w:pPr>
    </w:p>
    <w:p w:rsidR="00FE4282" w:rsidRPr="00113AAA" w:rsidRDefault="00CC47F5" w:rsidP="00113AAA">
      <w:pPr>
        <w:ind w:firstLine="567"/>
        <w:jc w:val="both"/>
        <w:rPr>
          <w:rFonts w:cs="Times New Roman"/>
          <w:b/>
          <w:bCs/>
          <w:color w:val="333333"/>
        </w:rPr>
      </w:pPr>
      <w:r w:rsidRPr="00113AAA">
        <w:rPr>
          <w:rFonts w:cs="Times New Roman"/>
          <w:b/>
          <w:bCs/>
          <w:color w:val="333333"/>
        </w:rPr>
        <w:t>Труд и заработная плата</w:t>
      </w:r>
    </w:p>
    <w:p w:rsidR="006E12B5" w:rsidRDefault="00CC47F5" w:rsidP="00113AAA">
      <w:pPr>
        <w:ind w:firstLine="567"/>
        <w:jc w:val="both"/>
        <w:rPr>
          <w:rFonts w:cs="Times New Roman"/>
        </w:rPr>
      </w:pPr>
      <w:r w:rsidRPr="00614C61">
        <w:rPr>
          <w:rFonts w:cs="Times New Roman"/>
        </w:rPr>
        <w:t>Рынок труда городского округа Электро</w:t>
      </w:r>
      <w:r w:rsidR="006E12B5">
        <w:rPr>
          <w:rFonts w:cs="Times New Roman"/>
        </w:rPr>
        <w:t>сталь представлен предприятиями</w:t>
      </w:r>
      <w:r w:rsidRPr="00614C61">
        <w:rPr>
          <w:rFonts w:cs="Times New Roman"/>
        </w:rPr>
        <w:t xml:space="preserve"> промышленного производства, строительства, оптовой и розничной торговли, услуг, организациями, осуществляющими административную деятельность и государственное управление. </w:t>
      </w:r>
    </w:p>
    <w:p w:rsidR="006E12B5" w:rsidRDefault="00CC47F5" w:rsidP="00113AAA">
      <w:pPr>
        <w:ind w:firstLine="567"/>
        <w:jc w:val="both"/>
        <w:rPr>
          <w:rFonts w:cs="Times New Roman"/>
        </w:rPr>
      </w:pPr>
      <w:r w:rsidRPr="00614C61">
        <w:rPr>
          <w:rFonts w:cs="Times New Roman"/>
        </w:rPr>
        <w:t>Основными предприятиями, определяющими динамику и развитие рынка труда являются предпр</w:t>
      </w:r>
      <w:r w:rsidR="00113AAA" w:rsidRPr="00614C61">
        <w:rPr>
          <w:rFonts w:cs="Times New Roman"/>
        </w:rPr>
        <w:t xml:space="preserve">иятия промышленного комплекса:  ПАО «МСЗ», </w:t>
      </w:r>
      <w:r w:rsidRPr="00614C61">
        <w:rPr>
          <w:rFonts w:cs="Times New Roman"/>
        </w:rPr>
        <w:t xml:space="preserve"> ОАО </w:t>
      </w:r>
      <w:r w:rsidR="00113AAA" w:rsidRPr="00614C61">
        <w:rPr>
          <w:rFonts w:cs="Times New Roman"/>
        </w:rPr>
        <w:t>«</w:t>
      </w:r>
      <w:r w:rsidRPr="00614C61">
        <w:rPr>
          <w:rFonts w:cs="Times New Roman"/>
        </w:rPr>
        <w:t>ЭЗТМ</w:t>
      </w:r>
      <w:r w:rsidR="00113AAA" w:rsidRPr="00614C61">
        <w:rPr>
          <w:rFonts w:cs="Times New Roman"/>
        </w:rPr>
        <w:t xml:space="preserve">», </w:t>
      </w:r>
      <w:r w:rsidR="00D77E3D">
        <w:rPr>
          <w:rFonts w:cs="Times New Roman"/>
        </w:rPr>
        <w:t xml:space="preserve">                     </w:t>
      </w:r>
      <w:r w:rsidRPr="00614C61">
        <w:rPr>
          <w:rFonts w:cs="Times New Roman"/>
        </w:rPr>
        <w:t>А</w:t>
      </w:r>
      <w:r w:rsidR="00113AAA" w:rsidRPr="00614C61">
        <w:rPr>
          <w:rFonts w:cs="Times New Roman"/>
        </w:rPr>
        <w:t>О «МЗ «</w:t>
      </w:r>
      <w:r w:rsidRPr="00614C61">
        <w:rPr>
          <w:rFonts w:cs="Times New Roman"/>
        </w:rPr>
        <w:t>Электросталь</w:t>
      </w:r>
      <w:r w:rsidR="00113AAA" w:rsidRPr="00614C61">
        <w:rPr>
          <w:rFonts w:cs="Times New Roman"/>
        </w:rPr>
        <w:t>»,</w:t>
      </w:r>
      <w:r w:rsidRPr="00614C61">
        <w:rPr>
          <w:rFonts w:cs="Times New Roman"/>
        </w:rPr>
        <w:t xml:space="preserve"> ОАО </w:t>
      </w:r>
      <w:r w:rsidR="00113AAA" w:rsidRPr="00614C61">
        <w:rPr>
          <w:rFonts w:cs="Times New Roman"/>
        </w:rPr>
        <w:t>«</w:t>
      </w:r>
      <w:r w:rsidRPr="00614C61">
        <w:rPr>
          <w:rFonts w:cs="Times New Roman"/>
        </w:rPr>
        <w:t>Электросталь</w:t>
      </w:r>
      <w:r w:rsidR="00113AAA" w:rsidRPr="00614C61">
        <w:rPr>
          <w:rFonts w:cs="Times New Roman"/>
        </w:rPr>
        <w:t>»,</w:t>
      </w:r>
      <w:r w:rsidRPr="00614C61">
        <w:rPr>
          <w:rFonts w:cs="Times New Roman"/>
        </w:rPr>
        <w:t xml:space="preserve"> </w:t>
      </w:r>
      <w:r w:rsidR="00113AAA" w:rsidRPr="00614C61">
        <w:rPr>
          <w:rFonts w:cs="Times New Roman"/>
        </w:rPr>
        <w:t>АО «502ЗРВТИ», ООО «МСЗ Механика», ЗАО «Рибер энд Сан Раша Продакшн»</w:t>
      </w:r>
      <w:r w:rsidRPr="00614C61">
        <w:rPr>
          <w:rFonts w:cs="Times New Roman"/>
        </w:rPr>
        <w:t xml:space="preserve"> и др. Также на рынок труда оказывают влияние крупные пре</w:t>
      </w:r>
      <w:r w:rsidR="00113AAA" w:rsidRPr="00614C61">
        <w:rPr>
          <w:rFonts w:cs="Times New Roman"/>
        </w:rPr>
        <w:t>дприятия торговли, такие как: ОП ООО «Агроторг», ОП ООО «</w:t>
      </w:r>
      <w:r w:rsidRPr="00614C61">
        <w:rPr>
          <w:rFonts w:cs="Times New Roman"/>
        </w:rPr>
        <w:t>Гипергл</w:t>
      </w:r>
      <w:r w:rsidR="00113AAA" w:rsidRPr="00614C61">
        <w:rPr>
          <w:rFonts w:cs="Times New Roman"/>
        </w:rPr>
        <w:t>обус»</w:t>
      </w:r>
      <w:r w:rsidRPr="00614C61">
        <w:rPr>
          <w:rFonts w:cs="Times New Roman"/>
        </w:rPr>
        <w:t xml:space="preserve">. </w:t>
      </w:r>
    </w:p>
    <w:p w:rsidR="00CC47F5" w:rsidRPr="00614C61" w:rsidRDefault="00CC47F5" w:rsidP="00113AAA">
      <w:pPr>
        <w:ind w:firstLine="567"/>
        <w:jc w:val="both"/>
        <w:rPr>
          <w:rFonts w:cs="Times New Roman"/>
        </w:rPr>
      </w:pPr>
      <w:r w:rsidRPr="00614C61">
        <w:rPr>
          <w:rFonts w:cs="Times New Roman"/>
        </w:rPr>
        <w:t>Наряду с крупнейшими промышленными предприятиями на территории городского округа осуществляют деятельно</w:t>
      </w:r>
      <w:r w:rsidR="006E12B5">
        <w:rPr>
          <w:rFonts w:cs="Times New Roman"/>
        </w:rPr>
        <w:t xml:space="preserve">сть </w:t>
      </w:r>
      <w:r w:rsidRPr="00614C61">
        <w:rPr>
          <w:rFonts w:cs="Times New Roman"/>
        </w:rPr>
        <w:t>предприятия малого бизнеса</w:t>
      </w:r>
      <w:r w:rsidR="00614C61" w:rsidRPr="00614C61">
        <w:rPr>
          <w:rFonts w:cs="Times New Roman"/>
        </w:rPr>
        <w:t>.</w:t>
      </w:r>
    </w:p>
    <w:p w:rsidR="00600070" w:rsidRDefault="00614C61" w:rsidP="00614C61">
      <w:pPr>
        <w:ind w:firstLine="540"/>
        <w:jc w:val="both"/>
        <w:rPr>
          <w:rFonts w:cs="Times New Roman"/>
        </w:rPr>
      </w:pPr>
      <w:r w:rsidRPr="00614C61">
        <w:rPr>
          <w:rFonts w:cs="Times New Roman"/>
        </w:rPr>
        <w:t>За  2018 год</w:t>
      </w:r>
      <w:r>
        <w:rPr>
          <w:rFonts w:cs="Times New Roman"/>
        </w:rPr>
        <w:t xml:space="preserve"> </w:t>
      </w:r>
      <w:r w:rsidRPr="00614C61">
        <w:rPr>
          <w:rFonts w:cs="Times New Roman"/>
        </w:rPr>
        <w:t>на предприятиях и в организация</w:t>
      </w:r>
      <w:r w:rsidR="006E12B5">
        <w:rPr>
          <w:rFonts w:cs="Times New Roman"/>
        </w:rPr>
        <w:t>х</w:t>
      </w:r>
      <w:r w:rsidRPr="00614C61">
        <w:rPr>
          <w:rFonts w:cs="Times New Roman"/>
        </w:rPr>
        <w:t xml:space="preserve"> городского округа Электросталь было создано 338 рабочих мест, в том числе: ПАО «МСЗ» - 207 раб.мест, ОАО «ЭЗТМ»  - 5, </w:t>
      </w:r>
      <w:r w:rsidR="002F5655">
        <w:rPr>
          <w:rFonts w:cs="Times New Roman"/>
        </w:rPr>
        <w:t xml:space="preserve"> </w:t>
      </w:r>
      <w:r w:rsidRPr="00614C61">
        <w:rPr>
          <w:rFonts w:cs="Times New Roman"/>
        </w:rPr>
        <w:t xml:space="preserve">АО «502 ЗРВТИ»  - 2, АО «СЗ «Виктория Девелопмент» - 23, ТСБ ОАО «Контракт» - 2, ООО «Русинокс» - 15, АО «ЭНПО «Неорганика» - 21, ООО «Альянс» - 6, АО «УПТК» - 5, АО «Дебют» - 2, АО НПО «Стройполимер» - 9, ООО «Производственная компания </w:t>
      </w:r>
      <w:r w:rsidR="002F5655">
        <w:rPr>
          <w:rFonts w:cs="Times New Roman"/>
        </w:rPr>
        <w:t xml:space="preserve"> </w:t>
      </w:r>
      <w:r w:rsidRPr="00614C61">
        <w:rPr>
          <w:rFonts w:cs="Times New Roman"/>
        </w:rPr>
        <w:t>«ЭКО-ВторРесурс» - 30, другие сферы деятельности (социальная, государственная и муниципальная служба и пр.) – 11 раб.мест.</w:t>
      </w:r>
    </w:p>
    <w:p w:rsidR="006E12B5" w:rsidRDefault="00614C61" w:rsidP="00614C61">
      <w:pPr>
        <w:ind w:firstLine="540"/>
        <w:jc w:val="both"/>
        <w:rPr>
          <w:rFonts w:cs="Times New Roman"/>
        </w:rPr>
      </w:pPr>
      <w:r w:rsidRPr="00614C61">
        <w:rPr>
          <w:rFonts w:cs="Times New Roman"/>
        </w:rPr>
        <w:t xml:space="preserve">В текущем </w:t>
      </w:r>
      <w:r w:rsidR="00392F1A">
        <w:rPr>
          <w:rFonts w:cs="Times New Roman"/>
        </w:rPr>
        <w:t xml:space="preserve">2019 </w:t>
      </w:r>
      <w:r w:rsidRPr="00614C61">
        <w:rPr>
          <w:rFonts w:cs="Times New Roman"/>
        </w:rPr>
        <w:t xml:space="preserve">году на предприятиях промышленного комплекса городского округа планируется  к вводу 240 рабочих мест, в том числе: ПАО «МСЗ» - 25, «АО «502 ЗРВТИ»  - 7, АО «СЗ «Виктория Девелопмент» - 5, ООО «Бета Гида» - 18, ТСБ ОАО»Контракт» - 1, АО «ЮИТ Московский регион» - 2, ООО «Русинокс» - 5, АО «ЭНПО Неорганика» - 5, ЗАО «ТПК «ЭЛКО» - 1, АО «Дебют» - 1, ООО «Малахит» - 3, АО НПО «Стройполимер» - 9, ООО «Русинокс» - 5, компания «Бонолит» - 150, и пр. </w:t>
      </w:r>
    </w:p>
    <w:p w:rsidR="00614C61" w:rsidRPr="003532F8" w:rsidRDefault="00614C61" w:rsidP="00614C61">
      <w:pPr>
        <w:ind w:firstLine="540"/>
        <w:jc w:val="both"/>
        <w:rPr>
          <w:rFonts w:cs="Times New Roman"/>
        </w:rPr>
      </w:pPr>
      <w:r w:rsidRPr="00614C61">
        <w:rPr>
          <w:rFonts w:cs="Times New Roman"/>
        </w:rPr>
        <w:t xml:space="preserve">В прогнозном периоде создание рабочих мест планируется за счет привлечения новых  резидентов на промышленные площадки города, </w:t>
      </w:r>
      <w:r w:rsidR="006E12B5">
        <w:rPr>
          <w:rFonts w:cs="Times New Roman"/>
        </w:rPr>
        <w:t>развития индустриальных парков «</w:t>
      </w:r>
      <w:r w:rsidRPr="00614C61">
        <w:rPr>
          <w:rFonts w:cs="Times New Roman"/>
        </w:rPr>
        <w:t>Металлург</w:t>
      </w:r>
      <w:r w:rsidR="006E12B5">
        <w:rPr>
          <w:rFonts w:cs="Times New Roman"/>
        </w:rPr>
        <w:t>», «</w:t>
      </w:r>
      <w:r w:rsidRPr="00614C61">
        <w:rPr>
          <w:rFonts w:cs="Times New Roman"/>
        </w:rPr>
        <w:t>ЭЛКО</w:t>
      </w:r>
      <w:r w:rsidR="006E12B5">
        <w:rPr>
          <w:rFonts w:cs="Times New Roman"/>
        </w:rPr>
        <w:t>»</w:t>
      </w:r>
      <w:r w:rsidRPr="00614C61">
        <w:rPr>
          <w:rFonts w:cs="Times New Roman"/>
        </w:rPr>
        <w:t>, реализа</w:t>
      </w:r>
      <w:r w:rsidR="006E12B5">
        <w:rPr>
          <w:rFonts w:cs="Times New Roman"/>
        </w:rPr>
        <w:t>ции инвестиционных проектов группы компаний «</w:t>
      </w:r>
      <w:r w:rsidRPr="00614C61">
        <w:rPr>
          <w:rFonts w:cs="Times New Roman"/>
        </w:rPr>
        <w:t>Виктория Эстейт</w:t>
      </w:r>
      <w:r w:rsidR="006E12B5">
        <w:rPr>
          <w:rFonts w:cs="Times New Roman"/>
        </w:rPr>
        <w:t>»</w:t>
      </w:r>
      <w:r w:rsidRPr="00614C61">
        <w:rPr>
          <w:rFonts w:cs="Times New Roman"/>
        </w:rPr>
        <w:t xml:space="preserve"> в сфере сельского хозяйства.</w:t>
      </w:r>
    </w:p>
    <w:p w:rsidR="006E12B5" w:rsidRDefault="00392F1A" w:rsidP="00392F1A">
      <w:pPr>
        <w:ind w:firstLine="540"/>
        <w:jc w:val="both"/>
        <w:rPr>
          <w:rFonts w:cs="Times New Roman"/>
        </w:rPr>
      </w:pPr>
      <w:r w:rsidRPr="00392F1A">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 В тоже время территория городского округа насыщена хозяйствующими субъектами малого предпринимательства.</w:t>
      </w:r>
      <w:r w:rsidR="006E12B5">
        <w:rPr>
          <w:rFonts w:cs="Times New Roman"/>
        </w:rPr>
        <w:t xml:space="preserve"> </w:t>
      </w:r>
      <w:r w:rsidRPr="00392F1A">
        <w:rPr>
          <w:rFonts w:cs="Times New Roman"/>
        </w:rPr>
        <w:t>Малый бизнес в городском округе Электросталь представлен 195 малыми и средними предприятиями и 5015 микропредприятиями.</w:t>
      </w:r>
      <w:r w:rsidR="006E12B5">
        <w:rPr>
          <w:rFonts w:cs="Times New Roman"/>
        </w:rPr>
        <w:t xml:space="preserve"> </w:t>
      </w:r>
    </w:p>
    <w:p w:rsidR="001D7001" w:rsidRDefault="001D7001" w:rsidP="001D7001">
      <w:pPr>
        <w:ind w:firstLine="540"/>
        <w:jc w:val="both"/>
        <w:rPr>
          <w:rFonts w:cs="Times New Roman"/>
        </w:rPr>
      </w:pPr>
      <w:r>
        <w:rPr>
          <w:rFonts w:cs="Times New Roman"/>
        </w:rPr>
        <w:t>Предприятиями и о</w:t>
      </w:r>
      <w:r w:rsidRPr="00392F1A">
        <w:rPr>
          <w:rFonts w:cs="Times New Roman"/>
        </w:rPr>
        <w:t xml:space="preserve">рганизациями, определяющими динамику фонда заработной платы городского округа являются крупнейшие промышленные предприятия: ПАО "МСЗ, ОАО "ЭЗТМ", АО "МЗ"Электросталь", ОАО "ЭХМЗ", АО "502ЗРВТИ", </w:t>
      </w:r>
      <w:r w:rsidR="002F5655">
        <w:rPr>
          <w:rFonts w:cs="Times New Roman"/>
        </w:rPr>
        <w:t xml:space="preserve">                                  </w:t>
      </w:r>
      <w:r w:rsidRPr="00392F1A">
        <w:rPr>
          <w:rFonts w:cs="Times New Roman"/>
        </w:rPr>
        <w:t xml:space="preserve">ООО "МСЗ Механика".  </w:t>
      </w:r>
    </w:p>
    <w:p w:rsidR="001D7001" w:rsidRDefault="00392F1A" w:rsidP="00392F1A">
      <w:pPr>
        <w:ind w:firstLine="540"/>
        <w:jc w:val="both"/>
        <w:rPr>
          <w:rFonts w:cs="Times New Roman"/>
        </w:rPr>
      </w:pPr>
      <w:r w:rsidRPr="00392F1A">
        <w:rPr>
          <w:rFonts w:cs="Times New Roman"/>
        </w:rPr>
        <w:t>Функциониру</w:t>
      </w:r>
      <w:r w:rsidR="001D7001">
        <w:rPr>
          <w:rFonts w:cs="Times New Roman"/>
        </w:rPr>
        <w:t>ющий на территории города малый бизнес, о</w:t>
      </w:r>
      <w:r w:rsidRPr="00392F1A">
        <w:rPr>
          <w:rFonts w:cs="Times New Roman"/>
        </w:rPr>
        <w:t>сновны</w:t>
      </w:r>
      <w:r w:rsidR="001D7001">
        <w:rPr>
          <w:rFonts w:cs="Times New Roman"/>
        </w:rPr>
        <w:t>м</w:t>
      </w:r>
      <w:r w:rsidRPr="00392F1A">
        <w:rPr>
          <w:rFonts w:cs="Times New Roman"/>
        </w:rPr>
        <w:t xml:space="preserve"> направлени</w:t>
      </w:r>
      <w:r w:rsidR="001D7001">
        <w:rPr>
          <w:rFonts w:cs="Times New Roman"/>
        </w:rPr>
        <w:t>ем</w:t>
      </w:r>
      <w:r w:rsidRPr="00392F1A">
        <w:rPr>
          <w:rFonts w:cs="Times New Roman"/>
        </w:rPr>
        <w:t xml:space="preserve"> деятельности </w:t>
      </w:r>
      <w:r w:rsidR="001D7001">
        <w:rPr>
          <w:rFonts w:cs="Times New Roman"/>
        </w:rPr>
        <w:t>которых</w:t>
      </w:r>
      <w:r w:rsidRPr="00392F1A">
        <w:rPr>
          <w:rFonts w:cs="Times New Roman"/>
        </w:rPr>
        <w:t xml:space="preserve"> по итогам 2018 года </w:t>
      </w:r>
      <w:r w:rsidR="001D7001">
        <w:rPr>
          <w:rFonts w:cs="Times New Roman"/>
        </w:rPr>
        <w:t xml:space="preserve">является </w:t>
      </w:r>
      <w:r w:rsidRPr="00392F1A">
        <w:rPr>
          <w:rFonts w:cs="Times New Roman"/>
        </w:rPr>
        <w:t>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w:t>
      </w:r>
      <w:r w:rsidR="001D7001">
        <w:rPr>
          <w:rFonts w:cs="Times New Roman"/>
        </w:rPr>
        <w:t>) представлен следующими предприятиями: п</w:t>
      </w:r>
      <w:r w:rsidRPr="00392F1A">
        <w:rPr>
          <w:rFonts w:cs="Times New Roman"/>
        </w:rPr>
        <w:t xml:space="preserve">редприятия группы компаний Тране, ООО «Терминус», ООО «Русинокс», АО «ТЭСМО», ООО «Промснабресурс», ЗАО «Полимер», </w:t>
      </w:r>
      <w:r w:rsidR="002F5655">
        <w:rPr>
          <w:rFonts w:cs="Times New Roman"/>
        </w:rPr>
        <w:t xml:space="preserve">                         </w:t>
      </w:r>
      <w:r w:rsidRPr="00392F1A">
        <w:rPr>
          <w:rFonts w:cs="Times New Roman"/>
        </w:rPr>
        <w:t xml:space="preserve">ООО «Фабрика композитов», ИП Вострухин М.С. </w:t>
      </w:r>
    </w:p>
    <w:p w:rsidR="001D7001" w:rsidRDefault="001D7001" w:rsidP="00392F1A">
      <w:pPr>
        <w:ind w:firstLine="540"/>
        <w:jc w:val="both"/>
        <w:rPr>
          <w:rFonts w:cs="Times New Roman"/>
        </w:rPr>
      </w:pPr>
      <w:r>
        <w:rPr>
          <w:rFonts w:cs="Times New Roman"/>
        </w:rPr>
        <w:t xml:space="preserve">Фонд заработной платы всех предприятий и организаций городского округа ежегодно </w:t>
      </w:r>
      <w:r w:rsidR="005523DD">
        <w:rPr>
          <w:rFonts w:cs="Times New Roman"/>
        </w:rPr>
        <w:t>растет, в</w:t>
      </w:r>
      <w:r>
        <w:rPr>
          <w:rFonts w:cs="Times New Roman"/>
        </w:rPr>
        <w:t xml:space="preserve"> 2018 году ФЗП составил 22 млдр.рублей, темп роста по сравнению с 2017 годом – 104,7%. </w:t>
      </w:r>
    </w:p>
    <w:p w:rsidR="005523DD" w:rsidRDefault="005523DD" w:rsidP="005523DD">
      <w:pPr>
        <w:ind w:firstLine="540"/>
        <w:jc w:val="both"/>
        <w:rPr>
          <w:rFonts w:cs="Times New Roman"/>
        </w:rPr>
      </w:pPr>
      <w:r w:rsidRPr="00392F1A">
        <w:rPr>
          <w:rFonts w:cs="Times New Roman"/>
        </w:rPr>
        <w:t xml:space="preserve">В 2019 году темп роста фонда заработной платы по крупным и средним организациям </w:t>
      </w:r>
      <w:r>
        <w:rPr>
          <w:rFonts w:cs="Times New Roman"/>
        </w:rPr>
        <w:t>оценивается в пределах 106,3%. В прогнозном периоде также ожидается рост значения показателя в пределах 104-106%.</w:t>
      </w:r>
    </w:p>
    <w:p w:rsidR="005523DD" w:rsidRDefault="005523DD" w:rsidP="005523DD">
      <w:pPr>
        <w:ind w:firstLine="540"/>
        <w:jc w:val="both"/>
        <w:rPr>
          <w:rFonts w:cs="Times New Roman"/>
        </w:rPr>
      </w:pPr>
      <w:r w:rsidRPr="00392F1A">
        <w:rPr>
          <w:rFonts w:cs="Times New Roman"/>
        </w:rPr>
        <w:t xml:space="preserve">Темп роста фонда заработной платы по городскому округу Электросталь в прогнозном периоде обусловлен в первую очередь повышением ФЗП на крупнейших предприятиях, в том числе ПАО «МСЗ» увеличивает фонд оплаты труда в прогнозном периоде с 3,9 млрд.рублей в 2020 году до 4,3 млрд.руб в 2022 году, </w:t>
      </w:r>
      <w:r w:rsidR="002F5655">
        <w:rPr>
          <w:rFonts w:cs="Times New Roman"/>
        </w:rPr>
        <w:t xml:space="preserve">                                   </w:t>
      </w:r>
      <w:r w:rsidRPr="00392F1A">
        <w:rPr>
          <w:rFonts w:cs="Times New Roman"/>
        </w:rPr>
        <w:t>АО «МЗ «Электросталь</w:t>
      </w:r>
      <w:r>
        <w:rPr>
          <w:rFonts w:cs="Times New Roman"/>
        </w:rPr>
        <w:t>»</w:t>
      </w:r>
      <w:r w:rsidRPr="00392F1A">
        <w:rPr>
          <w:rFonts w:cs="Times New Roman"/>
        </w:rPr>
        <w:t xml:space="preserve"> - с 2,7 млрд.руб в 2020 году до 2,9 млрд.руб.</w:t>
      </w:r>
      <w:r w:rsidR="002F5655">
        <w:rPr>
          <w:rFonts w:cs="Times New Roman"/>
        </w:rPr>
        <w:t xml:space="preserve"> </w:t>
      </w:r>
      <w:r w:rsidRPr="00392F1A">
        <w:rPr>
          <w:rFonts w:cs="Times New Roman"/>
        </w:rPr>
        <w:t xml:space="preserve">в 2022, </w:t>
      </w:r>
      <w:r w:rsidR="002F5655">
        <w:rPr>
          <w:rFonts w:cs="Times New Roman"/>
        </w:rPr>
        <w:t xml:space="preserve">                         </w:t>
      </w:r>
      <w:r w:rsidRPr="00392F1A">
        <w:rPr>
          <w:rFonts w:cs="Times New Roman"/>
        </w:rPr>
        <w:t xml:space="preserve">ОАО «ЭХМЗ» - с 291,8 млн.руб. в 2020 до 330,9 млн.руб. в 2022, и др. </w:t>
      </w:r>
    </w:p>
    <w:p w:rsidR="005523DD" w:rsidRDefault="005523DD" w:rsidP="005523DD">
      <w:pPr>
        <w:ind w:firstLine="540"/>
        <w:jc w:val="both"/>
        <w:rPr>
          <w:rFonts w:cs="Times New Roman"/>
        </w:rPr>
      </w:pPr>
      <w:r w:rsidRPr="00392F1A">
        <w:rPr>
          <w:rFonts w:cs="Times New Roman"/>
        </w:rPr>
        <w:t>Одновременно можно отметить, что рост фонда заработной платы напрямую за</w:t>
      </w:r>
      <w:r>
        <w:rPr>
          <w:rFonts w:cs="Times New Roman"/>
        </w:rPr>
        <w:t>висит от привлечения инвестиций.</w:t>
      </w:r>
      <w:r w:rsidRPr="00392F1A">
        <w:rPr>
          <w:rFonts w:cs="Times New Roman"/>
        </w:rPr>
        <w:t xml:space="preserve"> </w:t>
      </w:r>
    </w:p>
    <w:p w:rsidR="005523DD" w:rsidRDefault="005523DD" w:rsidP="005523DD">
      <w:pPr>
        <w:ind w:firstLine="540"/>
        <w:jc w:val="both"/>
        <w:rPr>
          <w:rFonts w:cs="Times New Roman"/>
        </w:rPr>
      </w:pPr>
      <w:r w:rsidRPr="00AC2AD8">
        <w:rPr>
          <w:rFonts w:cs="Times New Roman"/>
        </w:rPr>
        <w:t xml:space="preserve">За 2018 год средняя заработная плата работников по полному кругу предприятий и организаций городского округа Электросталь составила 42 424,8 руб., темп роста по сравнению с прошлым годом 111,5%, по крупным и средним предприятиям города средняя заработная плата вросла по сравнению с 2017 годом на 106% и составила </w:t>
      </w:r>
      <w:r w:rsidR="002F5655">
        <w:rPr>
          <w:rFonts w:cs="Times New Roman"/>
        </w:rPr>
        <w:t xml:space="preserve">                        </w:t>
      </w:r>
      <w:r w:rsidRPr="00AC2AD8">
        <w:rPr>
          <w:rFonts w:cs="Times New Roman"/>
        </w:rPr>
        <w:t>47 461 руб. На рост средней заработной платы оказывает влияние не только рост ФЗП, но и частичная оптимизация численности работников ряда крупных предприятий города.</w:t>
      </w:r>
    </w:p>
    <w:p w:rsidR="00AC2AD8" w:rsidRDefault="00AC2AD8" w:rsidP="00392F1A">
      <w:pPr>
        <w:ind w:firstLine="540"/>
        <w:jc w:val="both"/>
        <w:rPr>
          <w:rFonts w:cs="Times New Roman"/>
        </w:rPr>
      </w:pPr>
      <w:r w:rsidRPr="00AC2AD8">
        <w:rPr>
          <w:rFonts w:cs="Times New Roman"/>
        </w:rPr>
        <w:t>В 2019 году средняя заработная плата работников по крупным и средним организациям городского округа оценочно составит 50 806,5 руб., темп роста  - 107,0%. Средняя заработная плата рассчитана на основе статистических данных, с учетом информации, представленной крупными и средними предприятиями городского округа. Увеличение значения СЗП в 2019 году обусловлено в основном ростом фонда заработной платы.</w:t>
      </w:r>
    </w:p>
    <w:p w:rsidR="00AC2AD8" w:rsidRDefault="00AC2AD8" w:rsidP="00392F1A">
      <w:pPr>
        <w:ind w:firstLine="540"/>
        <w:jc w:val="both"/>
        <w:rPr>
          <w:rFonts w:cs="Times New Roman"/>
          <w:b/>
          <w:i/>
        </w:rPr>
      </w:pPr>
      <w:r w:rsidRPr="00AC2AD8">
        <w:rPr>
          <w:rFonts w:cs="Times New Roman"/>
          <w:b/>
          <w:i/>
        </w:rPr>
        <w:t>Фонд начисленной заработной платы малых предприятий</w:t>
      </w:r>
    </w:p>
    <w:p w:rsidR="00AC2AD8" w:rsidRDefault="00AC2AD8" w:rsidP="00392F1A">
      <w:pPr>
        <w:ind w:firstLine="540"/>
        <w:jc w:val="both"/>
        <w:rPr>
          <w:rFonts w:cs="Times New Roman"/>
        </w:rPr>
      </w:pPr>
      <w:r w:rsidRPr="00AC2AD8">
        <w:rPr>
          <w:rFonts w:cs="Times New Roman"/>
        </w:rPr>
        <w:t>Фонд заработной платы работников малых предприятий городского округа Электросталь в 2018 году составил 4,2 млрд. руб. Снижение по сравнению с 2017 годом обусловлено сокращением среднесписочной численности работников</w:t>
      </w:r>
      <w:r>
        <w:rPr>
          <w:rFonts w:cs="Times New Roman"/>
        </w:rPr>
        <w:t>.</w:t>
      </w:r>
    </w:p>
    <w:p w:rsidR="00AC2AD8" w:rsidRDefault="00AC2AD8" w:rsidP="00392F1A">
      <w:pPr>
        <w:ind w:firstLine="540"/>
        <w:jc w:val="both"/>
        <w:rPr>
          <w:rFonts w:cs="Times New Roman"/>
        </w:rPr>
      </w:pPr>
      <w:r w:rsidRPr="00AC2AD8">
        <w:rPr>
          <w:rFonts w:cs="Times New Roman"/>
        </w:rPr>
        <w:t>На территории г.о. Электросталь действует программа по финансовой поддержки предпринимателей, что позволяет создавать новые рабочие места. Также в городе создаются индустриальные и техно-парки, что способствует привлечению высококвалифицированных специалистов. Данные факторы оказывают влияние на темпы роста фонда заработной платы  малых предприятий.</w:t>
      </w:r>
    </w:p>
    <w:p w:rsidR="005523DD" w:rsidRDefault="00AC2AD8" w:rsidP="00392F1A">
      <w:pPr>
        <w:ind w:firstLine="540"/>
        <w:jc w:val="both"/>
        <w:rPr>
          <w:rFonts w:cs="Times New Roman"/>
        </w:rPr>
      </w:pPr>
      <w:r w:rsidRPr="00AC2AD8">
        <w:rPr>
          <w:rFonts w:cs="Times New Roman"/>
        </w:rPr>
        <w:t>Средняя заработная плата в 2018 году составила 29 254 руб. Увеличение по сравнению с 2017 годом обусловлено ростом уровня развития производства, повышением квалификации работников,</w:t>
      </w:r>
      <w:r>
        <w:rPr>
          <w:rFonts w:cs="Times New Roman"/>
        </w:rPr>
        <w:t xml:space="preserve"> </w:t>
      </w:r>
      <w:r w:rsidRPr="00AC2AD8">
        <w:rPr>
          <w:rFonts w:cs="Times New Roman"/>
        </w:rPr>
        <w:t xml:space="preserve">что в свою очередь влияет на результаты труда и качество труда работников. </w:t>
      </w:r>
    </w:p>
    <w:p w:rsidR="00AC2AD8" w:rsidRDefault="00AC2AD8" w:rsidP="00392F1A">
      <w:pPr>
        <w:ind w:firstLine="540"/>
        <w:jc w:val="both"/>
        <w:rPr>
          <w:rFonts w:cs="Times New Roman"/>
        </w:rPr>
      </w:pPr>
      <w:r w:rsidRPr="00AC2AD8">
        <w:rPr>
          <w:rFonts w:cs="Times New Roman"/>
        </w:rPr>
        <w:t>В связи с проводимыми мероприятиями по модернизации производств и замене оборудования старого образца на современное высокотехнологичное оборудование у предприятий увеличивается выпуск продукции, появляется необходимость в повышение квалификации кадров, что влечет повышение производительности труда. Все эти факторы влияют на увеличение темпов роста среднемесячной заработной платы в прогнозном периоде на территории г.о. Электросталь</w:t>
      </w:r>
      <w:r>
        <w:rPr>
          <w:rFonts w:cs="Times New Roman"/>
        </w:rPr>
        <w:t>.</w:t>
      </w:r>
    </w:p>
    <w:p w:rsidR="005523DD" w:rsidRDefault="005523DD" w:rsidP="00392F1A">
      <w:pPr>
        <w:ind w:firstLine="540"/>
        <w:jc w:val="both"/>
        <w:rPr>
          <w:rFonts w:cs="Times New Roman"/>
        </w:rPr>
      </w:pPr>
    </w:p>
    <w:p w:rsidR="00AC2AD8" w:rsidRPr="00707B78" w:rsidRDefault="00AC2AD8" w:rsidP="00392F1A">
      <w:pPr>
        <w:ind w:firstLine="540"/>
        <w:jc w:val="both"/>
        <w:rPr>
          <w:rFonts w:cs="Times New Roman"/>
          <w:b/>
        </w:rPr>
      </w:pPr>
      <w:r w:rsidRPr="00707B78">
        <w:rPr>
          <w:rFonts w:cs="Times New Roman"/>
          <w:b/>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p w:rsidR="00AC2AD8" w:rsidRDefault="00AC2AD8" w:rsidP="00392F1A">
      <w:pPr>
        <w:ind w:firstLine="540"/>
        <w:jc w:val="both"/>
        <w:rPr>
          <w:rFonts w:cs="Times New Roman"/>
        </w:rPr>
      </w:pPr>
      <w:r w:rsidRPr="00AC2AD8">
        <w:rPr>
          <w:rFonts w:cs="Times New Roman"/>
        </w:rPr>
        <w:t xml:space="preserve">В городском округе Электросталь уровень средней заработной платы в сфере образования </w:t>
      </w:r>
      <w:r>
        <w:rPr>
          <w:rFonts w:cs="Times New Roman"/>
        </w:rPr>
        <w:t xml:space="preserve">и культуры </w:t>
      </w:r>
      <w:r w:rsidRPr="00AC2AD8">
        <w:rPr>
          <w:rFonts w:cs="Times New Roman"/>
        </w:rPr>
        <w:t>(по категориям) выполняется в соответствии с установленными показателями согласно указам Президента РФ. Данный показатель достигается за счет средств, выделенных из бюджета городского округа, Московской области и средств от приносящей доход деятельности.</w:t>
      </w:r>
    </w:p>
    <w:p w:rsidR="00AC2AD8" w:rsidRPr="00AC2AD8" w:rsidRDefault="00AC2AD8" w:rsidP="00392F1A">
      <w:pPr>
        <w:ind w:firstLine="540"/>
        <w:jc w:val="both"/>
        <w:rPr>
          <w:rFonts w:cs="Times New Roman"/>
        </w:rPr>
      </w:pPr>
    </w:p>
    <w:p w:rsidR="00AC2AD8" w:rsidRDefault="00AC2AD8">
      <w:pPr>
        <w:rPr>
          <w:rFonts w:cs="Times New Roman"/>
          <w:b/>
          <w:bCs/>
          <w:color w:val="333333"/>
        </w:rPr>
      </w:pPr>
    </w:p>
    <w:p w:rsidR="002B4746" w:rsidRPr="002200D0" w:rsidRDefault="003532F8" w:rsidP="00C87F9B">
      <w:pPr>
        <w:ind w:firstLine="567"/>
        <w:rPr>
          <w:rFonts w:cs="Times New Roman"/>
          <w:b/>
          <w:bCs/>
          <w:color w:val="333333"/>
        </w:rPr>
      </w:pPr>
      <w:r w:rsidRPr="002200D0">
        <w:rPr>
          <w:rFonts w:cs="Times New Roman"/>
          <w:b/>
          <w:bCs/>
          <w:color w:val="333333"/>
        </w:rPr>
        <w:t>Торговля и услуги</w:t>
      </w:r>
    </w:p>
    <w:p w:rsidR="002B4746" w:rsidRPr="002200D0" w:rsidRDefault="003532F8" w:rsidP="00E04256">
      <w:pPr>
        <w:ind w:firstLine="567"/>
        <w:jc w:val="both"/>
        <w:rPr>
          <w:rFonts w:cs="Times New Roman"/>
        </w:rPr>
      </w:pPr>
      <w:r w:rsidRPr="002200D0">
        <w:rPr>
          <w:rFonts w:cs="Times New Roman"/>
        </w:rPr>
        <w:t xml:space="preserve">Крупнейшие предприятия городского округа Электросталь, оказывающие платные услуги населению: Филиал </w:t>
      </w:r>
      <w:r w:rsidR="002F5655">
        <w:rPr>
          <w:rFonts w:cs="Times New Roman"/>
        </w:rPr>
        <w:t>МО Мострансавто ЭПАТП, ГБУЗ МО «</w:t>
      </w:r>
      <w:r w:rsidRPr="002200D0">
        <w:rPr>
          <w:rFonts w:cs="Times New Roman"/>
        </w:rPr>
        <w:t>ЭЦГБ</w:t>
      </w:r>
      <w:r w:rsidR="002F5655">
        <w:rPr>
          <w:rFonts w:cs="Times New Roman"/>
        </w:rPr>
        <w:t>»</w:t>
      </w:r>
      <w:r w:rsidRPr="002200D0">
        <w:rPr>
          <w:rFonts w:cs="Times New Roman"/>
        </w:rPr>
        <w:t>,</w:t>
      </w:r>
      <w:r w:rsidR="002F5655">
        <w:rPr>
          <w:rFonts w:cs="Times New Roman"/>
        </w:rPr>
        <w:t xml:space="preserve"> ФГБУЗ  ЦПБ ФМБА России, ФГБУЗ «</w:t>
      </w:r>
      <w:r w:rsidRPr="002200D0">
        <w:rPr>
          <w:rFonts w:cs="Times New Roman"/>
        </w:rPr>
        <w:t>ЦМСЧ-21</w:t>
      </w:r>
      <w:r w:rsidR="002F5655">
        <w:rPr>
          <w:rFonts w:cs="Times New Roman"/>
        </w:rPr>
        <w:t>»</w:t>
      </w:r>
      <w:r w:rsidRPr="002200D0">
        <w:rPr>
          <w:rFonts w:cs="Times New Roman"/>
        </w:rPr>
        <w:t>, КЦ и</w:t>
      </w:r>
      <w:r w:rsidR="002F5655">
        <w:rPr>
          <w:rFonts w:cs="Times New Roman"/>
        </w:rPr>
        <w:t>м. Васильева, КЦ «</w:t>
      </w:r>
      <w:r w:rsidR="002200D0">
        <w:rPr>
          <w:rFonts w:cs="Times New Roman"/>
        </w:rPr>
        <w:t>Октябрь</w:t>
      </w:r>
      <w:r w:rsidR="002F5655">
        <w:rPr>
          <w:rFonts w:cs="Times New Roman"/>
        </w:rPr>
        <w:t>»,                                       ДК «</w:t>
      </w:r>
      <w:r w:rsidR="002200D0">
        <w:rPr>
          <w:rFonts w:cs="Times New Roman"/>
        </w:rPr>
        <w:t>Е</w:t>
      </w:r>
      <w:r w:rsidRPr="002200D0">
        <w:rPr>
          <w:rFonts w:cs="Times New Roman"/>
        </w:rPr>
        <w:t>лизаветино</w:t>
      </w:r>
      <w:r w:rsidR="002F5655">
        <w:rPr>
          <w:rFonts w:cs="Times New Roman"/>
        </w:rPr>
        <w:t>»</w:t>
      </w:r>
      <w:r w:rsidRPr="002200D0">
        <w:rPr>
          <w:rFonts w:cs="Times New Roman"/>
        </w:rPr>
        <w:t xml:space="preserve">, ЗАО </w:t>
      </w:r>
      <w:r w:rsidR="002F5655">
        <w:rPr>
          <w:rFonts w:cs="Times New Roman"/>
        </w:rPr>
        <w:t>«</w:t>
      </w:r>
      <w:r w:rsidRPr="002200D0">
        <w:rPr>
          <w:rFonts w:cs="Times New Roman"/>
        </w:rPr>
        <w:t>Отдых</w:t>
      </w:r>
      <w:r w:rsidR="002F5655">
        <w:rPr>
          <w:rFonts w:cs="Times New Roman"/>
        </w:rPr>
        <w:t>»</w:t>
      </w:r>
      <w:r w:rsidRPr="002200D0">
        <w:rPr>
          <w:rFonts w:cs="Times New Roman"/>
        </w:rPr>
        <w:t xml:space="preserve">, ОП ООО </w:t>
      </w:r>
      <w:r w:rsidR="002F5655">
        <w:rPr>
          <w:rFonts w:cs="Times New Roman"/>
        </w:rPr>
        <w:t>«</w:t>
      </w:r>
      <w:r w:rsidRPr="002200D0">
        <w:rPr>
          <w:rFonts w:cs="Times New Roman"/>
        </w:rPr>
        <w:t>Алекс-Фи</w:t>
      </w:r>
      <w:r w:rsidR="002F5655">
        <w:rPr>
          <w:rFonts w:cs="Times New Roman"/>
        </w:rPr>
        <w:t>т</w:t>
      </w:r>
      <w:r w:rsidRPr="002200D0">
        <w:rPr>
          <w:rFonts w:cs="Times New Roman"/>
        </w:rPr>
        <w:t>несс</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Зебра</w:t>
      </w:r>
      <w:r w:rsidR="002F5655">
        <w:rPr>
          <w:rFonts w:cs="Times New Roman"/>
        </w:rPr>
        <w:t>»</w:t>
      </w:r>
      <w:r w:rsidRPr="002200D0">
        <w:rPr>
          <w:rFonts w:cs="Times New Roman"/>
        </w:rPr>
        <w:t xml:space="preserve">, Филиал ГУП МО КС МО </w:t>
      </w:r>
      <w:r w:rsidR="002F5655">
        <w:rPr>
          <w:rFonts w:cs="Times New Roman"/>
        </w:rPr>
        <w:t>«</w:t>
      </w:r>
      <w:r w:rsidRPr="002200D0">
        <w:rPr>
          <w:rFonts w:cs="Times New Roman"/>
        </w:rPr>
        <w:t>Электростальский</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Центральное</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Северное</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АО </w:t>
      </w:r>
      <w:r w:rsidR="002F5655">
        <w:rPr>
          <w:rFonts w:cs="Times New Roman"/>
        </w:rPr>
        <w:t>«</w:t>
      </w:r>
      <w:r w:rsidRPr="002200D0">
        <w:rPr>
          <w:rFonts w:cs="Times New Roman"/>
        </w:rPr>
        <w:t>Мосэнергосбыт</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АО </w:t>
      </w:r>
      <w:r w:rsidR="002F5655">
        <w:rPr>
          <w:rFonts w:cs="Times New Roman"/>
        </w:rPr>
        <w:t>«</w:t>
      </w:r>
      <w:r w:rsidRPr="002200D0">
        <w:rPr>
          <w:rFonts w:cs="Times New Roman"/>
        </w:rPr>
        <w:t>ВСК</w:t>
      </w:r>
      <w:r w:rsidR="002F5655">
        <w:rPr>
          <w:rFonts w:cs="Times New Roman"/>
        </w:rPr>
        <w:t>»</w:t>
      </w:r>
      <w:r w:rsidRPr="002200D0">
        <w:rPr>
          <w:rFonts w:cs="Times New Roman"/>
        </w:rPr>
        <w:t xml:space="preserve">, ПАО </w:t>
      </w:r>
      <w:r w:rsidR="002F5655">
        <w:rPr>
          <w:rFonts w:cs="Times New Roman"/>
        </w:rPr>
        <w:t>«</w:t>
      </w:r>
      <w:r w:rsidRPr="002200D0">
        <w:rPr>
          <w:rFonts w:cs="Times New Roman"/>
        </w:rPr>
        <w:t>ЭЮТСК</w:t>
      </w:r>
      <w:r w:rsidR="002F5655">
        <w:rPr>
          <w:rFonts w:cs="Times New Roman"/>
        </w:rPr>
        <w:t>»</w:t>
      </w:r>
      <w:r w:rsidRPr="002200D0">
        <w:rPr>
          <w:rFonts w:cs="Times New Roman"/>
        </w:rPr>
        <w:t xml:space="preserve">, Филиал ГУП МО </w:t>
      </w:r>
      <w:r w:rsidR="002F5655">
        <w:rPr>
          <w:rFonts w:cs="Times New Roman"/>
        </w:rPr>
        <w:t>«</w:t>
      </w:r>
      <w:r w:rsidRPr="002200D0">
        <w:rPr>
          <w:rFonts w:cs="Times New Roman"/>
        </w:rPr>
        <w:t xml:space="preserve">Мособлгаз </w:t>
      </w:r>
      <w:r w:rsidR="002F5655">
        <w:rPr>
          <w:rFonts w:cs="Times New Roman"/>
        </w:rPr>
        <w:t>«</w:t>
      </w:r>
      <w:r w:rsidRPr="002200D0">
        <w:rPr>
          <w:rFonts w:cs="Times New Roman"/>
        </w:rPr>
        <w:t>Ногинскмежрайгаз</w:t>
      </w:r>
      <w:r w:rsidR="002F5655">
        <w:rPr>
          <w:rFonts w:cs="Times New Roman"/>
        </w:rPr>
        <w:t>»</w:t>
      </w:r>
      <w:r w:rsidRPr="002200D0">
        <w:rPr>
          <w:rFonts w:cs="Times New Roman"/>
        </w:rPr>
        <w:t xml:space="preserve">, Кафе ООО </w:t>
      </w:r>
      <w:r w:rsidR="002F5655">
        <w:rPr>
          <w:rFonts w:cs="Times New Roman"/>
        </w:rPr>
        <w:t>«</w:t>
      </w:r>
      <w:r w:rsidRPr="002200D0">
        <w:rPr>
          <w:rFonts w:cs="Times New Roman"/>
        </w:rPr>
        <w:t>ГиперГлобус</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Макдоналдс</w:t>
      </w:r>
      <w:r w:rsidR="002F5655">
        <w:rPr>
          <w:rFonts w:cs="Times New Roman"/>
        </w:rPr>
        <w:t>»</w:t>
      </w:r>
      <w:r w:rsidRPr="002200D0">
        <w:rPr>
          <w:rFonts w:cs="Times New Roman"/>
        </w:rPr>
        <w:t xml:space="preserve">, </w:t>
      </w:r>
      <w:r w:rsidR="002F5655">
        <w:rPr>
          <w:rFonts w:cs="Times New Roman"/>
        </w:rPr>
        <w:t xml:space="preserve">                   </w:t>
      </w:r>
      <w:r w:rsidRPr="002200D0">
        <w:rPr>
          <w:rFonts w:cs="Times New Roman"/>
        </w:rPr>
        <w:t xml:space="preserve">ООО </w:t>
      </w:r>
      <w:r w:rsidR="002F5655">
        <w:rPr>
          <w:rFonts w:cs="Times New Roman"/>
        </w:rPr>
        <w:t>«</w:t>
      </w:r>
      <w:r w:rsidRPr="002200D0">
        <w:rPr>
          <w:rFonts w:cs="Times New Roman"/>
        </w:rPr>
        <w:t>Дюна</w:t>
      </w:r>
      <w:r w:rsidR="002F5655">
        <w:rPr>
          <w:rFonts w:cs="Times New Roman"/>
        </w:rPr>
        <w:t>»</w:t>
      </w:r>
      <w:r w:rsidRPr="002200D0">
        <w:rPr>
          <w:rFonts w:cs="Times New Roman"/>
        </w:rPr>
        <w:t xml:space="preserve">, ООО </w:t>
      </w:r>
      <w:r w:rsidR="002F5655">
        <w:rPr>
          <w:rFonts w:cs="Times New Roman"/>
        </w:rPr>
        <w:t>«</w:t>
      </w:r>
      <w:r w:rsidRPr="002200D0">
        <w:rPr>
          <w:rFonts w:cs="Times New Roman"/>
        </w:rPr>
        <w:t>Контраст</w:t>
      </w:r>
      <w:r w:rsidR="002F5655">
        <w:rPr>
          <w:rFonts w:cs="Times New Roman"/>
        </w:rPr>
        <w:t>»</w:t>
      </w:r>
      <w:r w:rsidRPr="002200D0">
        <w:rPr>
          <w:rFonts w:cs="Times New Roman"/>
        </w:rPr>
        <w:t xml:space="preserve"> и др.</w:t>
      </w:r>
    </w:p>
    <w:p w:rsidR="003532F8" w:rsidRPr="002200D0" w:rsidRDefault="003532F8" w:rsidP="00E04256">
      <w:pPr>
        <w:ind w:firstLine="567"/>
        <w:jc w:val="both"/>
        <w:rPr>
          <w:rFonts w:cs="Times New Roman"/>
        </w:rPr>
      </w:pPr>
      <w:r w:rsidRPr="002200D0">
        <w:rPr>
          <w:rFonts w:cs="Times New Roman"/>
        </w:rPr>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 Рост объемов в данной сфере обусловлен повышением тарифов ЖКХ, а также вводом в эксплуатацию новых жилых домов: в 2018 году ввод жилья составит 49 тыс.кв.м, в 2019 - 19 тыс.кв.м, в 2020 - 6,7 тыс.кв.м.</w:t>
      </w:r>
    </w:p>
    <w:p w:rsidR="003532F8" w:rsidRPr="002200D0" w:rsidRDefault="003532F8" w:rsidP="00E04256">
      <w:pPr>
        <w:ind w:firstLine="567"/>
        <w:jc w:val="both"/>
        <w:rPr>
          <w:rFonts w:cs="Times New Roman"/>
        </w:rPr>
      </w:pPr>
      <w:r w:rsidRPr="002200D0">
        <w:rPr>
          <w:rFonts w:cs="Times New Roman"/>
        </w:rPr>
        <w:t>Объем потребления многих видов платных услуг, их ассортимент во многом зависит от уровня денежных доходов населения. С их ростом совершенствуется и спрос. Средняя заработная плата в городском округе не превышает 50 тысяч рублей. Цены на предоставление услуг растут ежегодно.</w:t>
      </w:r>
    </w:p>
    <w:p w:rsidR="003532F8" w:rsidRPr="002200D0" w:rsidRDefault="003532F8" w:rsidP="00E04256">
      <w:pPr>
        <w:ind w:firstLine="567"/>
        <w:jc w:val="both"/>
        <w:rPr>
          <w:rFonts w:cs="Times New Roman"/>
        </w:rPr>
      </w:pPr>
      <w:r w:rsidRPr="002200D0">
        <w:rPr>
          <w:rFonts w:cs="Times New Roman"/>
          <w:color w:val="333333"/>
        </w:rPr>
        <w:t xml:space="preserve">Крупнейшие предприятия оптовой и розничной торговли: </w:t>
      </w:r>
      <w:r w:rsidRPr="002200D0">
        <w:rPr>
          <w:rFonts w:cs="Times New Roman"/>
        </w:rPr>
        <w:t xml:space="preserve">Торговый центр </w:t>
      </w:r>
      <w:r w:rsidR="002F5655">
        <w:rPr>
          <w:rFonts w:cs="Times New Roman"/>
        </w:rPr>
        <w:t>«</w:t>
      </w:r>
      <w:r w:rsidRPr="002200D0">
        <w:rPr>
          <w:rFonts w:cs="Times New Roman"/>
        </w:rPr>
        <w:t>Меридиан</w:t>
      </w:r>
      <w:r w:rsidR="002F5655">
        <w:rPr>
          <w:rFonts w:cs="Times New Roman"/>
        </w:rPr>
        <w:t>»</w:t>
      </w:r>
      <w:r w:rsidRPr="002200D0">
        <w:rPr>
          <w:rFonts w:cs="Times New Roman"/>
        </w:rPr>
        <w:t xml:space="preserve">( 11525 кв.м) , ул. Ялагина, 4;  Торгово-развлекательный центр </w:t>
      </w:r>
      <w:r w:rsidR="002F5655">
        <w:rPr>
          <w:rFonts w:cs="Times New Roman"/>
        </w:rPr>
        <w:t>«</w:t>
      </w:r>
      <w:r w:rsidRPr="002200D0">
        <w:rPr>
          <w:rFonts w:cs="Times New Roman"/>
        </w:rPr>
        <w:t>Эльград</w:t>
      </w:r>
      <w:r w:rsidR="002F5655">
        <w:rPr>
          <w:rFonts w:cs="Times New Roman"/>
        </w:rPr>
        <w:t>»               (</w:t>
      </w:r>
      <w:r w:rsidRPr="002200D0">
        <w:rPr>
          <w:rFonts w:cs="Times New Roman"/>
        </w:rPr>
        <w:t xml:space="preserve">59885 кв.м.) , пр. Ленина, д. 0/10;  культурно-развлекательный центр </w:t>
      </w:r>
      <w:r w:rsidR="002F5655">
        <w:rPr>
          <w:rFonts w:cs="Times New Roman"/>
        </w:rPr>
        <w:t>«</w:t>
      </w:r>
      <w:r w:rsidRPr="002200D0">
        <w:rPr>
          <w:rFonts w:cs="Times New Roman"/>
        </w:rPr>
        <w:t>Парк Плаза</w:t>
      </w:r>
      <w:r w:rsidR="002F5655">
        <w:rPr>
          <w:rFonts w:cs="Times New Roman"/>
        </w:rPr>
        <w:t>»                    (</w:t>
      </w:r>
      <w:r w:rsidRPr="002200D0">
        <w:rPr>
          <w:rFonts w:cs="Times New Roman"/>
        </w:rPr>
        <w:t>15500 кв.м.), ул. Радио;  Торговый центр</w:t>
      </w:r>
      <w:r w:rsidR="002F5655">
        <w:rPr>
          <w:rFonts w:cs="Times New Roman"/>
        </w:rPr>
        <w:t xml:space="preserve"> «</w:t>
      </w:r>
      <w:r w:rsidRPr="002200D0">
        <w:rPr>
          <w:rFonts w:cs="Times New Roman"/>
        </w:rPr>
        <w:t>Центральный</w:t>
      </w:r>
      <w:r w:rsidR="002F5655">
        <w:rPr>
          <w:rFonts w:cs="Times New Roman"/>
        </w:rPr>
        <w:t xml:space="preserve">» </w:t>
      </w:r>
      <w:r w:rsidRPr="002200D0">
        <w:rPr>
          <w:rFonts w:cs="Times New Roman"/>
        </w:rPr>
        <w:t>(4760 кв.м.)</w:t>
      </w:r>
      <w:r w:rsidR="002F5655">
        <w:rPr>
          <w:rFonts w:cs="Times New Roman"/>
        </w:rPr>
        <w:t xml:space="preserve"> </w:t>
      </w:r>
      <w:r w:rsidRPr="002200D0">
        <w:rPr>
          <w:rFonts w:cs="Times New Roman"/>
        </w:rPr>
        <w:t xml:space="preserve">ул. Карла Маркса;   ТЦ </w:t>
      </w:r>
      <w:r w:rsidR="002F5655">
        <w:rPr>
          <w:rFonts w:cs="Times New Roman"/>
        </w:rPr>
        <w:t>«</w:t>
      </w:r>
      <w:r w:rsidRPr="002200D0">
        <w:rPr>
          <w:rFonts w:cs="Times New Roman"/>
        </w:rPr>
        <w:t>Первый</w:t>
      </w:r>
      <w:r w:rsidR="002F5655">
        <w:rPr>
          <w:rFonts w:cs="Times New Roman"/>
        </w:rPr>
        <w:t>»</w:t>
      </w:r>
      <w:r w:rsidRPr="002200D0">
        <w:rPr>
          <w:rFonts w:cs="Times New Roman"/>
        </w:rPr>
        <w:t xml:space="preserve">, (5770 кв.м.) ул. Северная;  торговые центры </w:t>
      </w:r>
      <w:r w:rsidR="002F5655">
        <w:rPr>
          <w:rFonts w:cs="Times New Roman"/>
        </w:rPr>
        <w:t>«</w:t>
      </w:r>
      <w:r w:rsidRPr="002200D0">
        <w:rPr>
          <w:rFonts w:cs="Times New Roman"/>
        </w:rPr>
        <w:t>АТАК</w:t>
      </w:r>
      <w:r w:rsidR="002F5655">
        <w:rPr>
          <w:rFonts w:cs="Times New Roman"/>
        </w:rPr>
        <w:t>» (</w:t>
      </w:r>
      <w:r w:rsidRPr="002200D0">
        <w:rPr>
          <w:rFonts w:cs="Times New Roman"/>
        </w:rPr>
        <w:t xml:space="preserve">3630 кв.м.)  на </w:t>
      </w:r>
      <w:r w:rsidR="00D77E3D">
        <w:rPr>
          <w:rFonts w:cs="Times New Roman"/>
        </w:rPr>
        <w:t xml:space="preserve">               </w:t>
      </w:r>
      <w:r w:rsidRPr="002200D0">
        <w:rPr>
          <w:rFonts w:cs="Times New Roman"/>
        </w:rPr>
        <w:t xml:space="preserve">ул. Тевосяна и (3700 кв.м.) на ул. Ногинское шоссе; Мебельный центр </w:t>
      </w:r>
      <w:r w:rsidR="002F5655">
        <w:rPr>
          <w:rFonts w:cs="Times New Roman"/>
        </w:rPr>
        <w:t>«</w:t>
      </w:r>
      <w:r w:rsidRPr="002200D0">
        <w:rPr>
          <w:rFonts w:cs="Times New Roman"/>
        </w:rPr>
        <w:t>Интерьер</w:t>
      </w:r>
      <w:r w:rsidR="002F5655">
        <w:rPr>
          <w:rFonts w:cs="Times New Roman"/>
        </w:rPr>
        <w:t>» (</w:t>
      </w:r>
      <w:r w:rsidRPr="002200D0">
        <w:rPr>
          <w:rFonts w:cs="Times New Roman"/>
        </w:rPr>
        <w:t>2975), ул. Красная; Т</w:t>
      </w:r>
      <w:r w:rsidR="002F5655">
        <w:rPr>
          <w:rFonts w:cs="Times New Roman"/>
        </w:rPr>
        <w:t>орговый комплекс «Восточный», (</w:t>
      </w:r>
      <w:r w:rsidRPr="002200D0">
        <w:rPr>
          <w:rFonts w:cs="Times New Roman"/>
        </w:rPr>
        <w:t xml:space="preserve">1900 кв.м.), ул. Карла Маркса; </w:t>
      </w:r>
      <w:r w:rsidR="00D77E3D">
        <w:rPr>
          <w:rFonts w:cs="Times New Roman"/>
        </w:rPr>
        <w:t xml:space="preserve">                        </w:t>
      </w:r>
      <w:r w:rsidRPr="002200D0">
        <w:rPr>
          <w:rFonts w:cs="Times New Roman"/>
        </w:rPr>
        <w:t xml:space="preserve">ТК </w:t>
      </w:r>
      <w:r w:rsidR="002F5655">
        <w:rPr>
          <w:rFonts w:cs="Times New Roman"/>
        </w:rPr>
        <w:t>«</w:t>
      </w:r>
      <w:r w:rsidRPr="002200D0">
        <w:rPr>
          <w:rFonts w:cs="Times New Roman"/>
        </w:rPr>
        <w:t>Анже</w:t>
      </w:r>
      <w:r w:rsidR="002F5655">
        <w:rPr>
          <w:rFonts w:cs="Times New Roman"/>
        </w:rPr>
        <w:t>»</w:t>
      </w:r>
      <w:r w:rsidRPr="002200D0">
        <w:rPr>
          <w:rFonts w:cs="Times New Roman"/>
        </w:rPr>
        <w:t xml:space="preserve">, (1200 кв.м.) пр. Ленина;  Торгово-офисный центр </w:t>
      </w:r>
      <w:r w:rsidR="002F5655">
        <w:rPr>
          <w:rFonts w:cs="Times New Roman"/>
        </w:rPr>
        <w:t>«</w:t>
      </w:r>
      <w:r w:rsidRPr="002200D0">
        <w:rPr>
          <w:rFonts w:cs="Times New Roman"/>
        </w:rPr>
        <w:t>Лотос</w:t>
      </w:r>
      <w:r w:rsidR="002F5655">
        <w:rPr>
          <w:rFonts w:cs="Times New Roman"/>
        </w:rPr>
        <w:t>»</w:t>
      </w:r>
      <w:r w:rsidRPr="002200D0">
        <w:rPr>
          <w:rFonts w:cs="Times New Roman"/>
        </w:rPr>
        <w:t xml:space="preserve">, (2400 кв.м.); </w:t>
      </w:r>
      <w:r w:rsidR="00D77E3D">
        <w:rPr>
          <w:rFonts w:cs="Times New Roman"/>
        </w:rPr>
        <w:t xml:space="preserve">               </w:t>
      </w:r>
      <w:r w:rsidRPr="002200D0">
        <w:rPr>
          <w:rFonts w:cs="Times New Roman"/>
        </w:rPr>
        <w:t xml:space="preserve">ТЦ </w:t>
      </w:r>
      <w:r w:rsidR="002F5655">
        <w:rPr>
          <w:rFonts w:cs="Times New Roman"/>
        </w:rPr>
        <w:t>«</w:t>
      </w:r>
      <w:r w:rsidRPr="002200D0">
        <w:rPr>
          <w:rFonts w:cs="Times New Roman"/>
        </w:rPr>
        <w:t>Южный</w:t>
      </w:r>
      <w:r w:rsidR="002F5655">
        <w:rPr>
          <w:rFonts w:cs="Times New Roman"/>
        </w:rPr>
        <w:t>»</w:t>
      </w:r>
      <w:r w:rsidRPr="002200D0">
        <w:rPr>
          <w:rFonts w:cs="Times New Roman"/>
        </w:rPr>
        <w:t xml:space="preserve">, (3400 кв.м.), ул. Мира, Гипермаркеты </w:t>
      </w:r>
      <w:r w:rsidR="002F5655">
        <w:rPr>
          <w:rFonts w:cs="Times New Roman"/>
        </w:rPr>
        <w:t>«</w:t>
      </w:r>
      <w:r w:rsidRPr="002200D0">
        <w:rPr>
          <w:rFonts w:cs="Times New Roman"/>
        </w:rPr>
        <w:t>Глобус</w:t>
      </w:r>
      <w:r w:rsidR="002F5655">
        <w:rPr>
          <w:rFonts w:cs="Times New Roman"/>
        </w:rPr>
        <w:t>»</w:t>
      </w:r>
      <w:r w:rsidRPr="002200D0">
        <w:rPr>
          <w:rFonts w:cs="Times New Roman"/>
        </w:rPr>
        <w:t xml:space="preserve"> и </w:t>
      </w:r>
      <w:r w:rsidR="002F5655">
        <w:rPr>
          <w:rFonts w:cs="Times New Roman"/>
        </w:rPr>
        <w:t>«</w:t>
      </w:r>
      <w:r w:rsidRPr="002200D0">
        <w:rPr>
          <w:rFonts w:cs="Times New Roman"/>
        </w:rPr>
        <w:t>Касторама</w:t>
      </w:r>
      <w:r w:rsidR="002F5655">
        <w:rPr>
          <w:rFonts w:cs="Times New Roman"/>
        </w:rPr>
        <w:t>»</w:t>
      </w:r>
      <w:r w:rsidRPr="002200D0">
        <w:rPr>
          <w:rFonts w:cs="Times New Roman"/>
        </w:rPr>
        <w:t xml:space="preserve"> (присоединенные территории с.п. Степановское).</w:t>
      </w:r>
    </w:p>
    <w:p w:rsidR="005C3A01" w:rsidRDefault="005C3A01"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2200D0">
        <w:rPr>
          <w:rFonts w:cs="Times New Roman"/>
        </w:rPr>
        <w:t xml:space="preserve"> </w:t>
      </w:r>
      <w:r w:rsidR="002200D0" w:rsidRPr="005C3A01">
        <w:rPr>
          <w:rFonts w:cs="Times New Roman"/>
          <w:b/>
          <w:bCs/>
          <w:color w:val="333333"/>
        </w:rPr>
        <w:t>Образование</w:t>
      </w:r>
    </w:p>
    <w:p w:rsidR="002200D0" w:rsidRPr="00C57610" w:rsidRDefault="002200D0" w:rsidP="002200D0">
      <w:pPr>
        <w:ind w:firstLine="567"/>
        <w:jc w:val="both"/>
        <w:rPr>
          <w:rFonts w:cs="Times New Roman"/>
          <w:b/>
          <w:bCs/>
        </w:rPr>
      </w:pPr>
      <w:r w:rsidRPr="00C57610">
        <w:rPr>
          <w:rFonts w:cs="Times New Roman"/>
          <w:b/>
          <w:bCs/>
        </w:rPr>
        <w:t>Развитие системы дошкольного образования</w:t>
      </w:r>
    </w:p>
    <w:p w:rsidR="00A37F90" w:rsidRPr="00C57610" w:rsidRDefault="001B57D7" w:rsidP="002200D0">
      <w:pPr>
        <w:ind w:firstLine="567"/>
        <w:jc w:val="both"/>
        <w:rPr>
          <w:rFonts w:cs="Times New Roman"/>
        </w:rPr>
      </w:pPr>
      <w:r w:rsidRPr="00C57610">
        <w:rPr>
          <w:rFonts w:cs="Times New Roman"/>
        </w:rPr>
        <w:t>Система дошкольного образования Элект</w:t>
      </w:r>
      <w:r w:rsidR="00A37F90" w:rsidRPr="00C57610">
        <w:rPr>
          <w:rFonts w:cs="Times New Roman"/>
        </w:rPr>
        <w:t>ростали в 2018 году изменилась,</w:t>
      </w:r>
      <w:r w:rsidRPr="00C57610">
        <w:rPr>
          <w:rFonts w:cs="Times New Roman"/>
        </w:rPr>
        <w:t xml:space="preserve"> </w:t>
      </w:r>
      <w:r w:rsidR="00A37F90" w:rsidRPr="00C57610">
        <w:rPr>
          <w:rFonts w:cs="Times New Roman"/>
        </w:rPr>
        <w:t>в нее вошли два</w:t>
      </w:r>
      <w:r w:rsidRPr="00C57610">
        <w:rPr>
          <w:rFonts w:cs="Times New Roman"/>
        </w:rPr>
        <w:t xml:space="preserve"> муниципальных  дошкольных образовательных учреждения с.п. Стёпаново</w:t>
      </w:r>
      <w:r w:rsidR="00A37F90" w:rsidRPr="00C57610">
        <w:rPr>
          <w:rFonts w:cs="Times New Roman"/>
        </w:rPr>
        <w:t xml:space="preserve">, наряду с этим, </w:t>
      </w:r>
      <w:r w:rsidRPr="00C57610">
        <w:rPr>
          <w:rFonts w:cs="Times New Roman"/>
        </w:rPr>
        <w:t>МДОУ № 32 реорганизовано путем присоединения к МДОУ № 56</w:t>
      </w:r>
      <w:r w:rsidR="00A37F90" w:rsidRPr="00C57610">
        <w:rPr>
          <w:rFonts w:cs="Times New Roman"/>
        </w:rPr>
        <w:t>,</w:t>
      </w:r>
      <w:r w:rsidRPr="00C57610">
        <w:rPr>
          <w:rFonts w:cs="Times New Roman"/>
        </w:rPr>
        <w:t xml:space="preserve"> в результате количество детских садов </w:t>
      </w:r>
      <w:r w:rsidR="00A37F90" w:rsidRPr="00C57610">
        <w:rPr>
          <w:rFonts w:cs="Times New Roman"/>
        </w:rPr>
        <w:t>городского округа по состоянию</w:t>
      </w:r>
      <w:r w:rsidR="002F5655">
        <w:rPr>
          <w:rFonts w:cs="Times New Roman"/>
        </w:rPr>
        <w:t xml:space="preserve"> </w:t>
      </w:r>
      <w:r w:rsidR="00A37F90" w:rsidRPr="00C57610">
        <w:rPr>
          <w:rFonts w:cs="Times New Roman"/>
        </w:rPr>
        <w:t xml:space="preserve">на 01.01.2019 </w:t>
      </w:r>
      <w:r w:rsidRPr="00C57610">
        <w:rPr>
          <w:rFonts w:cs="Times New Roman"/>
        </w:rPr>
        <w:t>составило 34</w:t>
      </w:r>
      <w:r w:rsidR="00A37F90" w:rsidRPr="00C57610">
        <w:rPr>
          <w:rFonts w:cs="Times New Roman"/>
        </w:rPr>
        <w:t xml:space="preserve"> единицы</w:t>
      </w:r>
      <w:r w:rsidRPr="00C57610">
        <w:rPr>
          <w:rFonts w:cs="Times New Roman"/>
        </w:rPr>
        <w:t xml:space="preserve">. </w:t>
      </w:r>
    </w:p>
    <w:p w:rsidR="00A37F90" w:rsidRPr="00C57610" w:rsidRDefault="001B57D7" w:rsidP="002200D0">
      <w:pPr>
        <w:ind w:firstLine="567"/>
        <w:jc w:val="both"/>
        <w:rPr>
          <w:rFonts w:cs="Times New Roman"/>
        </w:rPr>
      </w:pPr>
      <w:r w:rsidRPr="00C57610">
        <w:rPr>
          <w:rFonts w:cs="Times New Roman"/>
        </w:rPr>
        <w:t>Общее количество мест увеличилось на 383</w:t>
      </w:r>
      <w:r w:rsidR="00A37F90" w:rsidRPr="00C57610">
        <w:rPr>
          <w:rFonts w:cs="Times New Roman"/>
        </w:rPr>
        <w:t xml:space="preserve"> единицы</w:t>
      </w:r>
      <w:r w:rsidRPr="00C57610">
        <w:rPr>
          <w:rFonts w:cs="Times New Roman"/>
        </w:rPr>
        <w:t>, этого  удалось  достичь за счёт присоединения  МДОУ №87 и 99 с.п. Стёпаново с общим количеством мест 290 и созданием дополнительных 133</w:t>
      </w:r>
      <w:r w:rsidR="00A37F90" w:rsidRPr="00C57610">
        <w:rPr>
          <w:rFonts w:cs="Times New Roman"/>
        </w:rPr>
        <w:t xml:space="preserve"> места в существующих МДОУ.</w:t>
      </w:r>
    </w:p>
    <w:p w:rsidR="00C57610" w:rsidRPr="00C57610" w:rsidRDefault="001B57D7" w:rsidP="002200D0">
      <w:pPr>
        <w:ind w:firstLine="567"/>
        <w:jc w:val="both"/>
        <w:rPr>
          <w:rFonts w:cs="Times New Roman"/>
        </w:rPr>
      </w:pPr>
      <w:r w:rsidRPr="00C57610">
        <w:rPr>
          <w:rFonts w:cs="Times New Roman"/>
        </w:rPr>
        <w:t xml:space="preserve"> Общий охват детей дошкольным образованием состав</w:t>
      </w:r>
      <w:r w:rsidR="00A37F90" w:rsidRPr="00C57610">
        <w:rPr>
          <w:rFonts w:cs="Times New Roman"/>
        </w:rPr>
        <w:t>ил</w:t>
      </w:r>
      <w:r w:rsidRPr="00C57610">
        <w:rPr>
          <w:rFonts w:cs="Times New Roman"/>
        </w:rPr>
        <w:t xml:space="preserve"> 7520  детей</w:t>
      </w:r>
      <w:r w:rsidR="00A37F90" w:rsidRPr="00C57610">
        <w:rPr>
          <w:rFonts w:cs="Times New Roman"/>
        </w:rPr>
        <w:t>,</w:t>
      </w:r>
      <w:r w:rsidRPr="00C57610">
        <w:rPr>
          <w:rFonts w:cs="Times New Roman"/>
        </w:rPr>
        <w:t xml:space="preserve"> что на </w:t>
      </w:r>
      <w:r w:rsidR="00796A52">
        <w:rPr>
          <w:rFonts w:cs="Times New Roman"/>
        </w:rPr>
        <w:t xml:space="preserve">                        </w:t>
      </w:r>
      <w:r w:rsidRPr="00C57610">
        <w:rPr>
          <w:rFonts w:cs="Times New Roman"/>
        </w:rPr>
        <w:t>383</w:t>
      </w:r>
      <w:r w:rsidR="00A37F90" w:rsidRPr="00C57610">
        <w:rPr>
          <w:rFonts w:cs="Times New Roman"/>
        </w:rPr>
        <w:t xml:space="preserve"> ребенка</w:t>
      </w:r>
      <w:r w:rsidRPr="00C57610">
        <w:rPr>
          <w:rFonts w:cs="Times New Roman"/>
        </w:rPr>
        <w:t xml:space="preserve"> больше, чем в прошлом году. </w:t>
      </w:r>
    </w:p>
    <w:p w:rsidR="00C57610" w:rsidRDefault="00C57610" w:rsidP="00C57610">
      <w:pPr>
        <w:ind w:firstLine="567"/>
        <w:jc w:val="both"/>
        <w:rPr>
          <w:rFonts w:cs="Times New Roman"/>
          <w:bCs/>
        </w:rPr>
      </w:pPr>
      <w:r w:rsidRPr="00C57610">
        <w:rPr>
          <w:rFonts w:cs="Times New Roman"/>
          <w:bCs/>
        </w:rPr>
        <w:t xml:space="preserve">Ликвидирована очередь </w:t>
      </w:r>
      <w:r>
        <w:rPr>
          <w:rFonts w:cs="Times New Roman"/>
          <w:bCs/>
        </w:rPr>
        <w:t xml:space="preserve">в детские сады для детей </w:t>
      </w:r>
      <w:r w:rsidRPr="00C57610">
        <w:rPr>
          <w:rFonts w:cs="Times New Roman"/>
          <w:bCs/>
        </w:rPr>
        <w:t>от 1,5 до 3 лет</w:t>
      </w:r>
      <w:r>
        <w:rPr>
          <w:rFonts w:cs="Times New Roman"/>
          <w:bCs/>
        </w:rPr>
        <w:t>.</w:t>
      </w:r>
    </w:p>
    <w:p w:rsidR="002200D0" w:rsidRDefault="001B57D7" w:rsidP="002200D0">
      <w:pPr>
        <w:ind w:firstLine="567"/>
        <w:jc w:val="both"/>
        <w:rPr>
          <w:rFonts w:cs="Times New Roman"/>
        </w:rPr>
      </w:pPr>
      <w:r w:rsidRPr="001B57D7">
        <w:rPr>
          <w:rFonts w:cs="Times New Roman"/>
        </w:rPr>
        <w:t>В 2018 году в городском округе Электросталь в дошкольных образовательных учреждениях работало 1498 человек, из них педагогов - 690 чел., что составляет 46% от общего числа работающих в МДОУ.</w:t>
      </w:r>
    </w:p>
    <w:p w:rsidR="001B57D7" w:rsidRPr="005C3A01" w:rsidRDefault="001B57D7" w:rsidP="002200D0">
      <w:pPr>
        <w:ind w:firstLine="567"/>
        <w:jc w:val="both"/>
        <w:rPr>
          <w:rFonts w:cs="Times New Roman"/>
          <w:b/>
          <w:bCs/>
          <w:color w:val="333333"/>
        </w:rPr>
      </w:pPr>
    </w:p>
    <w:p w:rsidR="002200D0" w:rsidRPr="005C3A01" w:rsidRDefault="002200D0" w:rsidP="002200D0">
      <w:pPr>
        <w:ind w:firstLine="567"/>
        <w:jc w:val="both"/>
        <w:rPr>
          <w:rFonts w:cs="Times New Roman"/>
          <w:b/>
          <w:bCs/>
          <w:color w:val="333333"/>
        </w:rPr>
      </w:pPr>
      <w:r w:rsidRPr="005C3A01">
        <w:rPr>
          <w:rFonts w:cs="Times New Roman"/>
          <w:b/>
          <w:bCs/>
          <w:color w:val="333333"/>
        </w:rPr>
        <w:t>Развитие системы общего образования</w:t>
      </w:r>
    </w:p>
    <w:p w:rsidR="000D2078" w:rsidRDefault="001B57D7" w:rsidP="002200D0">
      <w:pPr>
        <w:ind w:firstLine="567"/>
        <w:jc w:val="both"/>
        <w:rPr>
          <w:rFonts w:cs="Times New Roman"/>
        </w:rPr>
      </w:pPr>
      <w:r w:rsidRPr="001B57D7">
        <w:rPr>
          <w:rFonts w:cs="Times New Roman"/>
        </w:rPr>
        <w:t xml:space="preserve">Приоритетной задачей в общем образовании – обеспечение общедоступного и качественного образования для всех детей в возрасте от 6,5 до 18 лет, создание в образовательных организациях условий, соответствующих требованиям федеральных государственных образовательных стандартов, обеспечение безопасности образовательной среды, возможность использования современных образовательных технологий, создание инновационных площадок по апробации и распространению перспективных образовательных моделей, обеспечение доступности качественных образовательных услуг для детей с ограниченными возможностями здоровья. </w:t>
      </w:r>
    </w:p>
    <w:p w:rsidR="000D2078" w:rsidRDefault="001B57D7" w:rsidP="002200D0">
      <w:pPr>
        <w:ind w:firstLine="567"/>
        <w:jc w:val="both"/>
        <w:rPr>
          <w:rFonts w:cs="Times New Roman"/>
        </w:rPr>
      </w:pPr>
      <w:r w:rsidRPr="001B57D7">
        <w:rPr>
          <w:rFonts w:cs="Times New Roman"/>
        </w:rPr>
        <w:t xml:space="preserve">Доля детей, обучающихся по федеральным государственным образовательным стандартам в 2018 году составила 89,7%, при этом все 100% учащихся с 1 по 8 класс обучаются по ФГОС. </w:t>
      </w:r>
    </w:p>
    <w:p w:rsidR="000D2078" w:rsidRDefault="001B57D7" w:rsidP="002200D0">
      <w:pPr>
        <w:ind w:firstLine="567"/>
        <w:jc w:val="both"/>
        <w:rPr>
          <w:rFonts w:cs="Times New Roman"/>
        </w:rPr>
      </w:pPr>
      <w:r w:rsidRPr="001B57D7">
        <w:rPr>
          <w:rFonts w:cs="Times New Roman"/>
        </w:rPr>
        <w:t xml:space="preserve">В 4 образовательных организациях реализуется ФГОС для обучающихся с </w:t>
      </w:r>
      <w:r w:rsidR="000D2078">
        <w:rPr>
          <w:rFonts w:cs="Times New Roman"/>
        </w:rPr>
        <w:t>ОВЗ.</w:t>
      </w:r>
      <w:r w:rsidRPr="001B57D7">
        <w:rPr>
          <w:rFonts w:cs="Times New Roman"/>
        </w:rPr>
        <w:t xml:space="preserve"> Это программы для детей с нарушением речи, слуха, зрения, задержкой психического развития, интеллектуальными нарушениями. </w:t>
      </w:r>
    </w:p>
    <w:p w:rsidR="000D2078" w:rsidRDefault="001B57D7" w:rsidP="002200D0">
      <w:pPr>
        <w:ind w:firstLine="567"/>
        <w:jc w:val="both"/>
        <w:rPr>
          <w:rFonts w:cs="Times New Roman"/>
        </w:rPr>
      </w:pPr>
      <w:r w:rsidRPr="001B57D7">
        <w:rPr>
          <w:rFonts w:cs="Times New Roman"/>
        </w:rPr>
        <w:t xml:space="preserve">В 2018 году в 22-х муниципальных общеобразовательных учреждениях, </w:t>
      </w:r>
      <w:r w:rsidR="00796A52">
        <w:rPr>
          <w:rFonts w:cs="Times New Roman"/>
        </w:rPr>
        <w:t xml:space="preserve">                            </w:t>
      </w:r>
      <w:r w:rsidRPr="001B57D7">
        <w:rPr>
          <w:rFonts w:cs="Times New Roman"/>
        </w:rPr>
        <w:t xml:space="preserve">3-х общеобразовательных учреждениях с ограниченными возможностями здоровья и </w:t>
      </w:r>
      <w:r w:rsidR="00796A52">
        <w:rPr>
          <w:rFonts w:cs="Times New Roman"/>
        </w:rPr>
        <w:t xml:space="preserve">              </w:t>
      </w:r>
      <w:r w:rsidRPr="001B57D7">
        <w:rPr>
          <w:rFonts w:cs="Times New Roman"/>
        </w:rPr>
        <w:t xml:space="preserve">2-х негосударственных общеобразовательных учреждениях обучалось 16142 учащихся </w:t>
      </w:r>
      <w:r w:rsidR="00796A52">
        <w:rPr>
          <w:rFonts w:cs="Times New Roman"/>
        </w:rPr>
        <w:t xml:space="preserve">              </w:t>
      </w:r>
      <w:r w:rsidR="000D2078">
        <w:rPr>
          <w:rFonts w:cs="Times New Roman"/>
        </w:rPr>
        <w:t xml:space="preserve">(в 2017 году - 15805 учащихся). </w:t>
      </w:r>
      <w:r w:rsidRPr="001B57D7">
        <w:rPr>
          <w:rFonts w:cs="Times New Roman"/>
        </w:rPr>
        <w:t>Из 22 школ 10 (46%) входят в первую сотню единого р</w:t>
      </w:r>
      <w:r w:rsidR="000D2078">
        <w:rPr>
          <w:rFonts w:cs="Times New Roman"/>
        </w:rPr>
        <w:t>ейтинга школ Московской области,</w:t>
      </w:r>
      <w:r w:rsidRPr="001B57D7">
        <w:rPr>
          <w:rFonts w:cs="Times New Roman"/>
        </w:rPr>
        <w:t xml:space="preserve"> 7 школ из 22 входят в ТОП-100 лучших школ Московской области по качеству образования. </w:t>
      </w:r>
    </w:p>
    <w:p w:rsidR="000D2078" w:rsidRDefault="001B57D7" w:rsidP="002200D0">
      <w:pPr>
        <w:ind w:firstLine="567"/>
        <w:jc w:val="both"/>
        <w:rPr>
          <w:rFonts w:cs="Times New Roman"/>
        </w:rPr>
      </w:pPr>
      <w:r w:rsidRPr="001B57D7">
        <w:rPr>
          <w:rFonts w:cs="Times New Roman"/>
        </w:rPr>
        <w:t xml:space="preserve">В рейтинговую систему образовательных учреждений области из 75 школ, показавших высокий уровень достижения работы педагогического коллектива по образованию и воспитанию учащихся по итогам 2016-2017 года вошло 5 школ </w:t>
      </w:r>
      <w:r w:rsidR="000D2078">
        <w:rPr>
          <w:rFonts w:cs="Times New Roman"/>
        </w:rPr>
        <w:t xml:space="preserve">городского округа Электросталь </w:t>
      </w:r>
      <w:r w:rsidRPr="001B57D7">
        <w:rPr>
          <w:rFonts w:cs="Times New Roman"/>
        </w:rPr>
        <w:t xml:space="preserve">(МОУ №№ 7,12,14,17,21). </w:t>
      </w:r>
    </w:p>
    <w:p w:rsidR="000D2078" w:rsidRDefault="001B57D7" w:rsidP="002200D0">
      <w:pPr>
        <w:ind w:firstLine="567"/>
        <w:jc w:val="both"/>
        <w:rPr>
          <w:rFonts w:cs="Times New Roman"/>
        </w:rPr>
      </w:pPr>
      <w:r w:rsidRPr="001B57D7">
        <w:rPr>
          <w:rFonts w:cs="Times New Roman"/>
        </w:rPr>
        <w:t xml:space="preserve">Четыре года подряд лицей №8 и СОШ №12 с УИИЯ  входят в ТОП-100 лучших школ по качеству образования, </w:t>
      </w:r>
      <w:r w:rsidR="000D2078">
        <w:rPr>
          <w:rFonts w:cs="Times New Roman"/>
        </w:rPr>
        <w:t>третий</w:t>
      </w:r>
      <w:r w:rsidRPr="001B57D7">
        <w:rPr>
          <w:rFonts w:cs="Times New Roman"/>
        </w:rPr>
        <w:t xml:space="preserve"> раз в ТОП-100 входят лицей №14 и гимназия №17, </w:t>
      </w:r>
      <w:r w:rsidR="000D2078">
        <w:rPr>
          <w:rFonts w:cs="Times New Roman"/>
        </w:rPr>
        <w:t>второй</w:t>
      </w:r>
      <w:r w:rsidRPr="001B57D7">
        <w:rPr>
          <w:rFonts w:cs="Times New Roman"/>
        </w:rPr>
        <w:t xml:space="preserve"> раз - лицей №7</w:t>
      </w:r>
      <w:r w:rsidR="000D2078">
        <w:rPr>
          <w:rFonts w:cs="Times New Roman"/>
        </w:rPr>
        <w:t>.</w:t>
      </w:r>
    </w:p>
    <w:p w:rsidR="002200D0" w:rsidRDefault="001B57D7" w:rsidP="002200D0">
      <w:pPr>
        <w:ind w:firstLine="567"/>
        <w:jc w:val="both"/>
        <w:rPr>
          <w:rFonts w:cs="Times New Roman"/>
        </w:rPr>
      </w:pPr>
      <w:r w:rsidRPr="001B57D7">
        <w:rPr>
          <w:rFonts w:cs="Times New Roman"/>
        </w:rPr>
        <w:t>Все учреждения получали гранты по 500,0</w:t>
      </w:r>
      <w:r w:rsidR="000D2078">
        <w:rPr>
          <w:rFonts w:cs="Times New Roman"/>
        </w:rPr>
        <w:t xml:space="preserve"> </w:t>
      </w:r>
      <w:r w:rsidRPr="001B57D7">
        <w:rPr>
          <w:rFonts w:cs="Times New Roman"/>
        </w:rPr>
        <w:t>тыс.руб. на приобретение современного оборудования. В 2018 году лицей №8,14, гимназия №17 и СОШ №12 с УИИЯ получили оборудование для организации исследовательской и проектной деятельности, научно-технического творчества и личностного развития обучающихся.</w:t>
      </w:r>
    </w:p>
    <w:p w:rsidR="001B57D7" w:rsidRDefault="001B57D7" w:rsidP="002200D0">
      <w:pPr>
        <w:ind w:firstLine="567"/>
        <w:jc w:val="both"/>
        <w:rPr>
          <w:rFonts w:cs="Times New Roman"/>
        </w:rPr>
      </w:pPr>
      <w:r w:rsidRPr="001B57D7">
        <w:rPr>
          <w:rFonts w:cs="Times New Roman"/>
        </w:rPr>
        <w:t xml:space="preserve">Для создания новых учебных мест планируется строительство пристройки на </w:t>
      </w:r>
      <w:r w:rsidR="00796A52">
        <w:rPr>
          <w:rFonts w:cs="Times New Roman"/>
        </w:rPr>
        <w:t xml:space="preserve">                   </w:t>
      </w:r>
      <w:r w:rsidRPr="001B57D7">
        <w:rPr>
          <w:rFonts w:cs="Times New Roman"/>
        </w:rPr>
        <w:t>100 мест к МОУ №22 в западном микрорайоне города и строительство школы на 825 мест в Северном микрорайоне города.  Ввод в эксплуатацию объектов  -  2020 год.</w:t>
      </w:r>
    </w:p>
    <w:p w:rsidR="001B57D7" w:rsidRPr="005C3A01" w:rsidRDefault="001B57D7" w:rsidP="002200D0">
      <w:pPr>
        <w:ind w:firstLine="567"/>
        <w:jc w:val="both"/>
        <w:rPr>
          <w:rFonts w:cs="Times New Roman"/>
        </w:rPr>
      </w:pPr>
    </w:p>
    <w:p w:rsidR="002200D0" w:rsidRPr="005C3A01" w:rsidRDefault="003532F8" w:rsidP="002200D0">
      <w:pPr>
        <w:ind w:firstLine="567"/>
        <w:jc w:val="both"/>
        <w:rPr>
          <w:rFonts w:cs="Times New Roman"/>
          <w:b/>
          <w:bCs/>
          <w:color w:val="333333"/>
        </w:rPr>
      </w:pPr>
      <w:r w:rsidRPr="005C3A01">
        <w:rPr>
          <w:rFonts w:cs="Times New Roman"/>
        </w:rPr>
        <w:t xml:space="preserve">  </w:t>
      </w:r>
      <w:r w:rsidR="002200D0" w:rsidRPr="005C3A01">
        <w:rPr>
          <w:rFonts w:cs="Times New Roman"/>
          <w:b/>
          <w:bCs/>
          <w:color w:val="333333"/>
        </w:rPr>
        <w:t>Культура и туризм</w:t>
      </w:r>
    </w:p>
    <w:p w:rsidR="00B06CA5" w:rsidRDefault="001B57D7" w:rsidP="002200D0">
      <w:pPr>
        <w:ind w:firstLine="567"/>
        <w:jc w:val="both"/>
        <w:rPr>
          <w:rFonts w:cs="Times New Roman"/>
        </w:rPr>
      </w:pPr>
      <w:r w:rsidRPr="001B57D7">
        <w:rPr>
          <w:rFonts w:cs="Times New Roman"/>
        </w:rPr>
        <w:t xml:space="preserve">Услуги в сфере культуры населению городского округа Электросталь в 2019 году  осуществляют: </w:t>
      </w:r>
    </w:p>
    <w:p w:rsidR="00B06CA5" w:rsidRDefault="00B06CA5" w:rsidP="002200D0">
      <w:pPr>
        <w:ind w:firstLine="567"/>
        <w:jc w:val="both"/>
        <w:rPr>
          <w:rFonts w:cs="Times New Roman"/>
        </w:rPr>
      </w:pPr>
      <w:r>
        <w:rPr>
          <w:rFonts w:cs="Times New Roman"/>
        </w:rPr>
        <w:t xml:space="preserve">- </w:t>
      </w:r>
      <w:r w:rsidR="001B57D7" w:rsidRPr="001B57D7">
        <w:rPr>
          <w:rFonts w:cs="Times New Roman"/>
        </w:rPr>
        <w:t xml:space="preserve">7 учреждений культурно-досугового  типа, в том числе, </w:t>
      </w:r>
      <w:r>
        <w:rPr>
          <w:rFonts w:cs="Times New Roman"/>
        </w:rPr>
        <w:t>4 – в муниципальной сфере: МУ «</w:t>
      </w:r>
      <w:r w:rsidR="001B57D7" w:rsidRPr="001B57D7">
        <w:rPr>
          <w:rFonts w:cs="Times New Roman"/>
        </w:rPr>
        <w:t xml:space="preserve">Культурный центр им. Н.П.Васильева», МУ « Центр культуры «Досуг», </w:t>
      </w:r>
      <w:r w:rsidR="00796A52">
        <w:rPr>
          <w:rFonts w:cs="Times New Roman"/>
        </w:rPr>
        <w:t xml:space="preserve">              </w:t>
      </w:r>
      <w:r w:rsidR="001B57D7" w:rsidRPr="001B57D7">
        <w:rPr>
          <w:rFonts w:cs="Times New Roman"/>
        </w:rPr>
        <w:t>МБУ «Культурный центр  «Октябрь», МБУК « Сельский дом культуры «Елизаветино»,</w:t>
      </w:r>
      <w:r>
        <w:rPr>
          <w:rFonts w:cs="Times New Roman"/>
        </w:rPr>
        <w:t xml:space="preserve"> </w:t>
      </w:r>
      <w:r w:rsidR="001B57D7" w:rsidRPr="001B57D7">
        <w:rPr>
          <w:rFonts w:cs="Times New Roman"/>
        </w:rPr>
        <w:t xml:space="preserve">включающий в свою структурк 2 филиала,  а также Центр культуры АНО КСК «Кристалл». Общее число посадочных мест в организациях культурно-досугового типа - 2535; </w:t>
      </w:r>
    </w:p>
    <w:p w:rsidR="00B06CA5" w:rsidRDefault="001B57D7" w:rsidP="002200D0">
      <w:pPr>
        <w:ind w:firstLine="567"/>
        <w:jc w:val="both"/>
        <w:rPr>
          <w:rFonts w:cs="Times New Roman"/>
        </w:rPr>
      </w:pPr>
      <w:r w:rsidRPr="001B57D7">
        <w:rPr>
          <w:rFonts w:cs="Times New Roman"/>
        </w:rPr>
        <w:t>- 11 массовых библиотек муниципального учреждения «Централизованная библиотечная система»; - муниципальное учреждение «Музейно-выставочный центр», объединяющее в своей структуре историко-художественный музей города Электросталь, выставочный зал и  фондохранилище;</w:t>
      </w:r>
    </w:p>
    <w:p w:rsidR="00B06CA5" w:rsidRDefault="001B57D7" w:rsidP="002200D0">
      <w:pPr>
        <w:ind w:firstLine="567"/>
        <w:jc w:val="both"/>
        <w:rPr>
          <w:rFonts w:cs="Times New Roman"/>
        </w:rPr>
      </w:pPr>
      <w:r w:rsidRPr="001B57D7">
        <w:rPr>
          <w:rFonts w:cs="Times New Roman"/>
        </w:rPr>
        <w:t xml:space="preserve">- 3 муниципальных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с контингентом 1328 обучающихся. </w:t>
      </w:r>
      <w:r w:rsidR="00D77E3D">
        <w:rPr>
          <w:rFonts w:cs="Times New Roman"/>
        </w:rPr>
        <w:t xml:space="preserve">                    </w:t>
      </w:r>
      <w:r w:rsidRPr="001B57D7">
        <w:rPr>
          <w:rFonts w:cs="Times New Roman"/>
        </w:rPr>
        <w:t xml:space="preserve">МУДО «Детская музыкальная школа »  является автономным учреждением.  </w:t>
      </w:r>
    </w:p>
    <w:p w:rsidR="00D77E3D" w:rsidRDefault="006A369B" w:rsidP="002200D0">
      <w:pPr>
        <w:ind w:firstLine="567"/>
        <w:jc w:val="both"/>
        <w:rPr>
          <w:rFonts w:cs="Times New Roman"/>
        </w:rPr>
      </w:pPr>
      <w:r>
        <w:rPr>
          <w:rFonts w:cs="Times New Roman"/>
        </w:rPr>
        <w:t>-  МБУК «</w:t>
      </w:r>
      <w:r w:rsidR="001B57D7" w:rsidRPr="001B57D7">
        <w:rPr>
          <w:rFonts w:cs="Times New Roman"/>
        </w:rPr>
        <w:t>Парки Электростали</w:t>
      </w:r>
      <w:r>
        <w:rPr>
          <w:rFonts w:cs="Times New Roman"/>
        </w:rPr>
        <w:t>»</w:t>
      </w:r>
      <w:r w:rsidR="001B57D7" w:rsidRPr="001B57D7">
        <w:rPr>
          <w:rFonts w:cs="Times New Roman"/>
        </w:rPr>
        <w:t xml:space="preserve">, парк культуры и отдыха ООО «ИНКАРОС»;  </w:t>
      </w:r>
    </w:p>
    <w:p w:rsidR="00B06CA5" w:rsidRDefault="001B57D7" w:rsidP="002200D0">
      <w:pPr>
        <w:ind w:firstLine="567"/>
        <w:jc w:val="both"/>
        <w:rPr>
          <w:rFonts w:cs="Times New Roman"/>
        </w:rPr>
      </w:pPr>
      <w:r w:rsidRPr="001B57D7">
        <w:rPr>
          <w:rFonts w:cs="Times New Roman"/>
        </w:rPr>
        <w:t xml:space="preserve">- киноцентры «Современник», «Галерея кино» и  «Вики Синема».   </w:t>
      </w:r>
    </w:p>
    <w:p w:rsidR="00B06CA5" w:rsidRDefault="001B57D7" w:rsidP="002200D0">
      <w:pPr>
        <w:ind w:firstLine="567"/>
        <w:jc w:val="both"/>
        <w:rPr>
          <w:rFonts w:cs="Times New Roman"/>
        </w:rPr>
      </w:pPr>
      <w:r w:rsidRPr="001B57D7">
        <w:rPr>
          <w:rFonts w:cs="Times New Roman"/>
        </w:rPr>
        <w:t xml:space="preserve">-  ГАПОУ  МО «МОБМК им. А.Н. Скрябина»;   </w:t>
      </w:r>
    </w:p>
    <w:p w:rsidR="00B06CA5" w:rsidRDefault="001B57D7" w:rsidP="002200D0">
      <w:pPr>
        <w:ind w:firstLine="567"/>
        <w:jc w:val="both"/>
        <w:rPr>
          <w:rFonts w:cs="Times New Roman"/>
        </w:rPr>
      </w:pPr>
      <w:r w:rsidRPr="001B57D7">
        <w:rPr>
          <w:rFonts w:cs="Times New Roman"/>
        </w:rPr>
        <w:t xml:space="preserve">-  частная художественная галерея «ЛУБР».           </w:t>
      </w:r>
    </w:p>
    <w:p w:rsidR="00B06CA5" w:rsidRDefault="001B57D7" w:rsidP="002200D0">
      <w:pPr>
        <w:ind w:firstLine="567"/>
        <w:jc w:val="both"/>
        <w:rPr>
          <w:rFonts w:cs="Times New Roman"/>
        </w:rPr>
      </w:pPr>
      <w:r w:rsidRPr="001B57D7">
        <w:rPr>
          <w:rFonts w:cs="Times New Roman"/>
        </w:rPr>
        <w:t>В 2018 году в городском округе Электро</w:t>
      </w:r>
      <w:r w:rsidR="00B06CA5">
        <w:rPr>
          <w:rFonts w:cs="Times New Roman"/>
        </w:rPr>
        <w:t>сталь в  сфере культуры сложилас</w:t>
      </w:r>
      <w:r w:rsidRPr="001B57D7">
        <w:rPr>
          <w:rFonts w:cs="Times New Roman"/>
        </w:rPr>
        <w:t>ь положительная динамика обеспеченности населения объектами культуры.</w:t>
      </w:r>
      <w:r w:rsidR="00B06CA5">
        <w:rPr>
          <w:rFonts w:cs="Times New Roman"/>
        </w:rPr>
        <w:t xml:space="preserve"> </w:t>
      </w:r>
      <w:r w:rsidRPr="001B57D7">
        <w:rPr>
          <w:rFonts w:cs="Times New Roman"/>
        </w:rPr>
        <w:t xml:space="preserve">Также  в 2018 году путем присоединения МБУК </w:t>
      </w:r>
      <w:r w:rsidR="00B06CA5">
        <w:rPr>
          <w:rFonts w:cs="Times New Roman"/>
        </w:rPr>
        <w:t>«Сельский дом культуры «</w:t>
      </w:r>
      <w:r w:rsidRPr="001B57D7">
        <w:rPr>
          <w:rFonts w:cs="Times New Roman"/>
        </w:rPr>
        <w:t>Елизаветино</w:t>
      </w:r>
      <w:r w:rsidR="00B06CA5">
        <w:rPr>
          <w:rFonts w:cs="Times New Roman"/>
        </w:rPr>
        <w:t>»</w:t>
      </w:r>
      <w:r w:rsidRPr="001B57D7">
        <w:rPr>
          <w:rFonts w:cs="Times New Roman"/>
        </w:rPr>
        <w:t xml:space="preserve">, в состав которого входят сельский дом культуры </w:t>
      </w:r>
      <w:r w:rsidR="00B06CA5">
        <w:rPr>
          <w:rFonts w:cs="Times New Roman"/>
        </w:rPr>
        <w:t>«</w:t>
      </w:r>
      <w:r w:rsidRPr="001B57D7">
        <w:rPr>
          <w:rFonts w:cs="Times New Roman"/>
        </w:rPr>
        <w:t>Елизаветино</w:t>
      </w:r>
      <w:r w:rsidR="00B06CA5">
        <w:rPr>
          <w:rFonts w:cs="Times New Roman"/>
        </w:rPr>
        <w:t>»</w:t>
      </w:r>
      <w:r w:rsidRPr="001B57D7">
        <w:rPr>
          <w:rFonts w:cs="Times New Roman"/>
        </w:rPr>
        <w:t xml:space="preserve"> и </w:t>
      </w:r>
      <w:r w:rsidR="00B06CA5">
        <w:rPr>
          <w:rFonts w:cs="Times New Roman"/>
        </w:rPr>
        <w:t>два</w:t>
      </w:r>
      <w:r w:rsidRPr="001B57D7">
        <w:rPr>
          <w:rFonts w:cs="Times New Roman"/>
        </w:rPr>
        <w:t xml:space="preserve"> обособленных подразделения:  сельский дом культуры </w:t>
      </w:r>
      <w:r w:rsidR="00B06CA5">
        <w:rPr>
          <w:rFonts w:cs="Times New Roman"/>
        </w:rPr>
        <w:t>«</w:t>
      </w:r>
      <w:r w:rsidRPr="001B57D7">
        <w:rPr>
          <w:rFonts w:cs="Times New Roman"/>
        </w:rPr>
        <w:t>Новые дома</w:t>
      </w:r>
      <w:r w:rsidR="00B06CA5">
        <w:rPr>
          <w:rFonts w:cs="Times New Roman"/>
        </w:rPr>
        <w:t>»</w:t>
      </w:r>
      <w:r w:rsidRPr="001B57D7">
        <w:rPr>
          <w:rFonts w:cs="Times New Roman"/>
        </w:rPr>
        <w:t xml:space="preserve"> и сельский дом культуры </w:t>
      </w:r>
      <w:r w:rsidR="00B06CA5">
        <w:rPr>
          <w:rFonts w:cs="Times New Roman"/>
        </w:rPr>
        <w:t>«</w:t>
      </w:r>
      <w:r w:rsidRPr="001B57D7">
        <w:rPr>
          <w:rFonts w:cs="Times New Roman"/>
        </w:rPr>
        <w:t>Всеволодово</w:t>
      </w:r>
      <w:r w:rsidR="00B06CA5">
        <w:rPr>
          <w:rFonts w:cs="Times New Roman"/>
        </w:rPr>
        <w:t>»</w:t>
      </w:r>
      <w:r w:rsidRPr="001B57D7">
        <w:rPr>
          <w:rFonts w:cs="Times New Roman"/>
        </w:rPr>
        <w:t xml:space="preserve"> (филиал) и п</w:t>
      </w:r>
      <w:r w:rsidR="00B06CA5">
        <w:rPr>
          <w:rFonts w:cs="Times New Roman"/>
        </w:rPr>
        <w:t>риобретения</w:t>
      </w:r>
      <w:r w:rsidRPr="001B57D7">
        <w:rPr>
          <w:rFonts w:cs="Times New Roman"/>
        </w:rPr>
        <w:t xml:space="preserve"> </w:t>
      </w:r>
      <w:r w:rsidR="00B06CA5">
        <w:rPr>
          <w:rFonts w:cs="Times New Roman"/>
        </w:rPr>
        <w:t>в муниципальную собственность «</w:t>
      </w:r>
      <w:r w:rsidRPr="001B57D7">
        <w:rPr>
          <w:rFonts w:cs="Times New Roman"/>
        </w:rPr>
        <w:t>Культурн</w:t>
      </w:r>
      <w:r w:rsidR="00B06CA5">
        <w:rPr>
          <w:rFonts w:cs="Times New Roman"/>
        </w:rPr>
        <w:t xml:space="preserve">ого </w:t>
      </w:r>
      <w:r w:rsidRPr="001B57D7">
        <w:rPr>
          <w:rFonts w:cs="Times New Roman"/>
        </w:rPr>
        <w:t>центр</w:t>
      </w:r>
      <w:r w:rsidR="00B06CA5">
        <w:rPr>
          <w:rFonts w:cs="Times New Roman"/>
        </w:rPr>
        <w:t>а «</w:t>
      </w:r>
      <w:r w:rsidRPr="001B57D7">
        <w:rPr>
          <w:rFonts w:cs="Times New Roman"/>
        </w:rPr>
        <w:t>Октябрь</w:t>
      </w:r>
      <w:r w:rsidR="00B06CA5">
        <w:rPr>
          <w:rFonts w:cs="Times New Roman"/>
        </w:rPr>
        <w:t>»</w:t>
      </w:r>
      <w:r w:rsidRPr="001B57D7">
        <w:rPr>
          <w:rFonts w:cs="Times New Roman"/>
        </w:rPr>
        <w:t xml:space="preserve"> количество </w:t>
      </w:r>
      <w:r w:rsidR="00B06CA5">
        <w:rPr>
          <w:rFonts w:cs="Times New Roman"/>
        </w:rPr>
        <w:t>культурно-досуговых учреждений</w:t>
      </w:r>
      <w:r w:rsidRPr="001B57D7">
        <w:rPr>
          <w:rFonts w:cs="Times New Roman"/>
        </w:rPr>
        <w:t xml:space="preserve"> составило 7 единиц</w:t>
      </w:r>
      <w:r w:rsidR="00B06CA5">
        <w:rPr>
          <w:rFonts w:cs="Times New Roman"/>
        </w:rPr>
        <w:t>.</w:t>
      </w:r>
    </w:p>
    <w:p w:rsidR="00B06CA5" w:rsidRDefault="001B57D7" w:rsidP="002200D0">
      <w:pPr>
        <w:ind w:firstLine="567"/>
        <w:jc w:val="both"/>
        <w:rPr>
          <w:rFonts w:cs="Times New Roman"/>
        </w:rPr>
      </w:pPr>
      <w:r w:rsidRPr="001B57D7">
        <w:rPr>
          <w:rFonts w:cs="Times New Roman"/>
        </w:rPr>
        <w:t xml:space="preserve">Количество музеев осталось на уровне 2017 года. </w:t>
      </w:r>
    </w:p>
    <w:p w:rsidR="00B06CA5" w:rsidRDefault="001B57D7" w:rsidP="002200D0">
      <w:pPr>
        <w:ind w:firstLine="567"/>
        <w:jc w:val="both"/>
        <w:rPr>
          <w:rFonts w:cs="Times New Roman"/>
        </w:rPr>
      </w:pPr>
      <w:r w:rsidRPr="001B57D7">
        <w:rPr>
          <w:rFonts w:cs="Times New Roman"/>
        </w:rPr>
        <w:t>Ежегодно для жителей города учреждениям</w:t>
      </w:r>
      <w:r w:rsidR="00796A52">
        <w:rPr>
          <w:rFonts w:cs="Times New Roman"/>
        </w:rPr>
        <w:t xml:space="preserve">и культуры  проводится более </w:t>
      </w:r>
      <w:r w:rsidR="00B06CA5">
        <w:rPr>
          <w:rFonts w:cs="Times New Roman"/>
        </w:rPr>
        <w:t>трех</w:t>
      </w:r>
      <w:r w:rsidRPr="001B57D7">
        <w:rPr>
          <w:rFonts w:cs="Times New Roman"/>
        </w:rPr>
        <w:t xml:space="preserve"> тысяч  культурно – досуговых </w:t>
      </w:r>
      <w:r w:rsidR="00796A52">
        <w:rPr>
          <w:rFonts w:cs="Times New Roman"/>
        </w:rPr>
        <w:t xml:space="preserve"> мероприятий (с охватом  более </w:t>
      </w:r>
      <w:r w:rsidRPr="001B57D7">
        <w:rPr>
          <w:rFonts w:cs="Times New Roman"/>
        </w:rPr>
        <w:t>400 тысяч  человек</w:t>
      </w:r>
      <w:r w:rsidR="00796A52">
        <w:rPr>
          <w:rFonts w:cs="Times New Roman"/>
        </w:rPr>
        <w:t>).</w:t>
      </w:r>
    </w:p>
    <w:p w:rsidR="005C3A01" w:rsidRDefault="001B57D7" w:rsidP="002200D0">
      <w:pPr>
        <w:ind w:firstLine="567"/>
        <w:jc w:val="both"/>
        <w:rPr>
          <w:rFonts w:cs="Times New Roman"/>
        </w:rPr>
      </w:pPr>
      <w:r w:rsidRPr="001B57D7">
        <w:rPr>
          <w:rFonts w:cs="Times New Roman"/>
        </w:rPr>
        <w:t>На территории городского округа Электросталь успешно реализуются 7 областных,</w:t>
      </w:r>
      <w:r w:rsidR="00796A52">
        <w:rPr>
          <w:rFonts w:cs="Times New Roman"/>
        </w:rPr>
        <w:t xml:space="preserve"> 1 всероссийский </w:t>
      </w:r>
      <w:r w:rsidRPr="001B57D7">
        <w:rPr>
          <w:rFonts w:cs="Times New Roman"/>
        </w:rPr>
        <w:t>и 2 международных проекта  в сфере культуры и искусства:  Московский областной конкурс ансамблевого  музицирования; Московская областная  выставка – конкурс  «Сов</w:t>
      </w:r>
      <w:r w:rsidR="00796A52">
        <w:rPr>
          <w:rFonts w:cs="Times New Roman"/>
        </w:rPr>
        <w:t xml:space="preserve">ременная вышивка Подмосковья»; </w:t>
      </w:r>
      <w:r w:rsidRPr="001B57D7">
        <w:rPr>
          <w:rFonts w:cs="Times New Roman"/>
        </w:rPr>
        <w:t>Московск</w:t>
      </w:r>
      <w:r w:rsidR="00796A52">
        <w:rPr>
          <w:rFonts w:cs="Times New Roman"/>
        </w:rPr>
        <w:t xml:space="preserve">ая областная выставка-конкурс «Лоскутная радуга Подмосковья»; </w:t>
      </w:r>
      <w:r w:rsidRPr="001B57D7">
        <w:rPr>
          <w:rFonts w:cs="Times New Roman"/>
        </w:rPr>
        <w:t>Московская областная  общественная  педагогическая  филармония (открытый фестиваль-конкурс  «Играют преподаватели» в номи</w:t>
      </w:r>
      <w:r w:rsidR="00796A52">
        <w:rPr>
          <w:rFonts w:cs="Times New Roman"/>
        </w:rPr>
        <w:t xml:space="preserve">нации народные инструменты); </w:t>
      </w:r>
      <w:r w:rsidRPr="001B57D7">
        <w:rPr>
          <w:rFonts w:cs="Times New Roman"/>
        </w:rPr>
        <w:t xml:space="preserve">Московская областная академическая выставка-конкурс работ учащихся детских художественных школ и художественных отделений школ искусств </w:t>
      </w:r>
      <w:r w:rsidR="00796A52">
        <w:rPr>
          <w:rFonts w:cs="Times New Roman"/>
        </w:rPr>
        <w:t xml:space="preserve">         </w:t>
      </w:r>
      <w:r w:rsidRPr="001B57D7">
        <w:rPr>
          <w:rFonts w:cs="Times New Roman"/>
        </w:rPr>
        <w:t>«У истоков м</w:t>
      </w:r>
      <w:r>
        <w:rPr>
          <w:rFonts w:cs="Times New Roman"/>
        </w:rPr>
        <w:t>е</w:t>
      </w:r>
      <w:r w:rsidRPr="001B57D7">
        <w:rPr>
          <w:rFonts w:cs="Times New Roman"/>
        </w:rPr>
        <w:t>ст</w:t>
      </w:r>
      <w:r w:rsidR="00796A52">
        <w:rPr>
          <w:rFonts w:cs="Times New Roman"/>
        </w:rPr>
        <w:t>»</w:t>
      </w:r>
      <w:r>
        <w:rPr>
          <w:rFonts w:cs="Times New Roman"/>
        </w:rPr>
        <w:t>.</w:t>
      </w:r>
    </w:p>
    <w:p w:rsidR="00B06CA5" w:rsidRDefault="001B57D7" w:rsidP="002200D0">
      <w:pPr>
        <w:ind w:firstLine="567"/>
        <w:jc w:val="both"/>
        <w:rPr>
          <w:rFonts w:cs="Times New Roman"/>
        </w:rPr>
      </w:pPr>
      <w:r w:rsidRPr="001B57D7">
        <w:rPr>
          <w:rFonts w:cs="Times New Roman"/>
        </w:rPr>
        <w:t xml:space="preserve">Муниципальные учреждения дополнительного образования в сфере культуры и искусства  «Детская музыкальная школа им. Ж.И. Андреенко», «Детская музыкальная школа», «Детская художественная школа» осуществляют большую методико-образовательную, воспитательную, концертную и выставочную деятельность. </w:t>
      </w:r>
    </w:p>
    <w:p w:rsidR="001B57D7" w:rsidRDefault="001B57D7" w:rsidP="002200D0">
      <w:pPr>
        <w:ind w:firstLine="567"/>
        <w:jc w:val="both"/>
        <w:rPr>
          <w:rFonts w:cs="Times New Roman"/>
        </w:rPr>
      </w:pPr>
      <w:r w:rsidRPr="001B57D7">
        <w:rPr>
          <w:rFonts w:cs="Times New Roman"/>
        </w:rPr>
        <w:t>Обучающиеся  музыкальных и художественной школ принимают участие в   Международных, Всероссийских, межрегиональных,  областных и городских конкурсах и фестивалях. По результатам участия в конкурсах и фестива</w:t>
      </w:r>
      <w:r w:rsidR="00796A52">
        <w:rPr>
          <w:rFonts w:cs="Times New Roman"/>
        </w:rPr>
        <w:t xml:space="preserve">лях многие </w:t>
      </w:r>
      <w:r w:rsidRPr="001B57D7">
        <w:rPr>
          <w:rFonts w:cs="Times New Roman"/>
        </w:rPr>
        <w:t>воспитанники детских музыкальных и художественной школ  удостоены званий лауреатов и дипломантов. В летний период  обучающиеся Детской художественной школы принимают  участие в пленэрах на территории Московской области и Республики Беларусь.</w:t>
      </w:r>
    </w:p>
    <w:p w:rsidR="001B57D7" w:rsidRPr="005C3A01" w:rsidRDefault="001B57D7" w:rsidP="002200D0">
      <w:pPr>
        <w:ind w:firstLine="567"/>
        <w:jc w:val="both"/>
        <w:rPr>
          <w:rFonts w:cs="Times New Roman"/>
        </w:rPr>
      </w:pPr>
    </w:p>
    <w:p w:rsidR="005C3A01" w:rsidRPr="005C3A01" w:rsidRDefault="00796A52" w:rsidP="002200D0">
      <w:pPr>
        <w:ind w:firstLine="567"/>
        <w:jc w:val="both"/>
        <w:rPr>
          <w:rFonts w:cs="Times New Roman"/>
          <w:b/>
          <w:bCs/>
          <w:color w:val="333333"/>
        </w:rPr>
      </w:pPr>
      <w:r>
        <w:rPr>
          <w:rFonts w:cs="Times New Roman"/>
        </w:rPr>
        <w:t xml:space="preserve"> </w:t>
      </w:r>
      <w:r w:rsidR="005C3A01" w:rsidRPr="005C3A01">
        <w:rPr>
          <w:rFonts w:cs="Times New Roman"/>
          <w:b/>
          <w:bCs/>
          <w:color w:val="333333"/>
        </w:rPr>
        <w:t>Физическая культура и спорт</w:t>
      </w:r>
    </w:p>
    <w:p w:rsidR="00B06CA5" w:rsidRDefault="001B57D7" w:rsidP="002200D0">
      <w:pPr>
        <w:ind w:firstLine="567"/>
        <w:jc w:val="both"/>
        <w:rPr>
          <w:rFonts w:cs="Times New Roman"/>
        </w:rPr>
      </w:pPr>
      <w:r w:rsidRPr="001B57D7">
        <w:rPr>
          <w:rFonts w:cs="Times New Roman"/>
        </w:rPr>
        <w:t xml:space="preserve">Сфера спорта городского округа Электросталь представлена девятью муниципальными учреждениями, из них шесть спортивных  школ осуществляющих спортивную подготовку и учреждения физкультурно-оздоровительной направленности: МУ «Физкультурно-оздоровительный клуб инвалидов», МУ «Спортивно-оздоровительный комплекс Электросталь» и МБУ «Мир спорта «Сталь». </w:t>
      </w:r>
    </w:p>
    <w:p w:rsidR="00B06CA5" w:rsidRDefault="001B57D7" w:rsidP="002200D0">
      <w:pPr>
        <w:ind w:firstLine="567"/>
        <w:jc w:val="both"/>
        <w:rPr>
          <w:rFonts w:cs="Times New Roman"/>
        </w:rPr>
      </w:pPr>
      <w:r w:rsidRPr="001B57D7">
        <w:rPr>
          <w:rFonts w:cs="Times New Roman"/>
        </w:rPr>
        <w:t xml:space="preserve">В городском округе Электросталь на 31.12.2018 всего занимается 2782 воспитанника из них: 2113 занимаются бесплатно и 669 - на платной основе. </w:t>
      </w:r>
    </w:p>
    <w:p w:rsidR="00B06CA5" w:rsidRDefault="001B57D7" w:rsidP="002200D0">
      <w:pPr>
        <w:ind w:firstLine="567"/>
        <w:jc w:val="both"/>
        <w:rPr>
          <w:rFonts w:cs="Times New Roman"/>
        </w:rPr>
      </w:pPr>
      <w:r w:rsidRPr="001B57D7">
        <w:rPr>
          <w:rFonts w:cs="Times New Roman"/>
        </w:rPr>
        <w:t xml:space="preserve">В настоящее время в муниципальных спортивных школах функционирует </w:t>
      </w:r>
      <w:r w:rsidR="006066B9">
        <w:rPr>
          <w:rFonts w:cs="Times New Roman"/>
        </w:rPr>
        <w:t xml:space="preserve">                           </w:t>
      </w:r>
      <w:r w:rsidRPr="001B57D7">
        <w:rPr>
          <w:rFonts w:cs="Times New Roman"/>
        </w:rPr>
        <w:t xml:space="preserve">18 отделений по видам спорта (с октября открыто отделение «фигурное катание»). </w:t>
      </w:r>
      <w:r w:rsidR="006066B9">
        <w:rPr>
          <w:rFonts w:cs="Times New Roman"/>
        </w:rPr>
        <w:t xml:space="preserve">                     </w:t>
      </w:r>
      <w:r w:rsidRPr="001B57D7">
        <w:rPr>
          <w:rFonts w:cs="Times New Roman"/>
        </w:rPr>
        <w:t>В настоящее время на территории города развивается более 50 видов спорта.</w:t>
      </w:r>
    </w:p>
    <w:p w:rsidR="000B6BB8" w:rsidRDefault="001B57D7" w:rsidP="002200D0">
      <w:pPr>
        <w:ind w:firstLine="567"/>
        <w:jc w:val="both"/>
        <w:rPr>
          <w:rFonts w:cs="Times New Roman"/>
        </w:rPr>
      </w:pPr>
      <w:r w:rsidRPr="001B57D7">
        <w:rPr>
          <w:rFonts w:cs="Times New Roman"/>
        </w:rPr>
        <w:t>В 2018 году в рамках государственной программы Московской области «Спорт Подмосковья» на 2017-2021 годы построен скейт-парк общей площадью 800 кв.м на территории МУ СОК «Электросталь» Также в МУ СОК «Электросталь» провели замену искусственного покрытия спортивной площадки, в зал гимнастики приобрели настил для вольных упражнений. На территории ФОКа с бассейном, пр-т Южный, д.9, корп. 6   построена площадка для сдачи норм ГТО, это уже вторая площадка в городе она очень востребована</w:t>
      </w:r>
      <w:r w:rsidR="00F148CE">
        <w:rPr>
          <w:rFonts w:cs="Times New Roman"/>
        </w:rPr>
        <w:t>.</w:t>
      </w:r>
      <w:r w:rsidRPr="001B57D7">
        <w:rPr>
          <w:rFonts w:cs="Times New Roman"/>
        </w:rPr>
        <w:t xml:space="preserve">  Построена площадка Воркаут на территории с.п. Степановское </w:t>
      </w:r>
      <w:r w:rsidR="00D77E3D">
        <w:rPr>
          <w:rFonts w:cs="Times New Roman"/>
        </w:rPr>
        <w:t xml:space="preserve">                  </w:t>
      </w:r>
      <w:r w:rsidRPr="001B57D7">
        <w:rPr>
          <w:rFonts w:cs="Times New Roman"/>
        </w:rPr>
        <w:t>(Ногинск-5).</w:t>
      </w:r>
    </w:p>
    <w:p w:rsidR="000B6BB8" w:rsidRDefault="000B6BB8" w:rsidP="002200D0">
      <w:pPr>
        <w:ind w:firstLine="567"/>
        <w:jc w:val="both"/>
        <w:rPr>
          <w:rFonts w:cs="Times New Roman"/>
        </w:rPr>
      </w:pPr>
    </w:p>
    <w:p w:rsidR="000B6BB8" w:rsidRDefault="000B6BB8" w:rsidP="002200D0">
      <w:pPr>
        <w:ind w:firstLine="567"/>
        <w:jc w:val="both"/>
        <w:rPr>
          <w:rFonts w:cs="Times New Roman"/>
        </w:rPr>
      </w:pPr>
      <w:r>
        <w:rPr>
          <w:rFonts w:cs="Times New Roman"/>
        </w:rPr>
        <w:t>Верно:                                          Е.П.Даницкая</w:t>
      </w: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FA098C" w:rsidRDefault="00FA098C"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pPr>
    </w:p>
    <w:p w:rsidR="00EF5D60" w:rsidRDefault="00EF5D60" w:rsidP="002200D0">
      <w:pPr>
        <w:ind w:firstLine="567"/>
        <w:jc w:val="both"/>
        <w:rPr>
          <w:rFonts w:cs="Times New Roman"/>
        </w:rPr>
        <w:sectPr w:rsidR="00EF5D60" w:rsidSect="000A3C7B">
          <w:headerReference w:type="default" r:id="rId10"/>
          <w:pgSz w:w="11906" w:h="16838"/>
          <w:pgMar w:top="1134" w:right="850" w:bottom="1134" w:left="1701" w:header="708" w:footer="708" w:gutter="0"/>
          <w:cols w:space="708"/>
          <w:titlePg/>
          <w:docGrid w:linePitch="360"/>
        </w:sectPr>
      </w:pPr>
    </w:p>
    <w:tbl>
      <w:tblPr>
        <w:tblpPr w:leftFromText="180" w:rightFromText="180" w:tblpY="630"/>
        <w:tblW w:w="15309" w:type="dxa"/>
        <w:tblLayout w:type="fixed"/>
        <w:tblLook w:val="04A0" w:firstRow="1" w:lastRow="0" w:firstColumn="1" w:lastColumn="0" w:noHBand="0" w:noVBand="1"/>
      </w:tblPr>
      <w:tblGrid>
        <w:gridCol w:w="2947"/>
        <w:gridCol w:w="1284"/>
        <w:gridCol w:w="1211"/>
        <w:gridCol w:w="1210"/>
        <w:gridCol w:w="1210"/>
        <w:gridCol w:w="1188"/>
        <w:gridCol w:w="1210"/>
        <w:gridCol w:w="1314"/>
        <w:gridCol w:w="1210"/>
        <w:gridCol w:w="1315"/>
        <w:gridCol w:w="1210"/>
      </w:tblGrid>
      <w:tr w:rsidR="00EF5D60" w:rsidRPr="00EF5D60" w:rsidTr="006A369B">
        <w:trPr>
          <w:trHeight w:val="465"/>
        </w:trPr>
        <w:tc>
          <w:tcPr>
            <w:tcW w:w="15473" w:type="dxa"/>
            <w:gridSpan w:val="11"/>
            <w:tcBorders>
              <w:top w:val="nil"/>
              <w:left w:val="nil"/>
              <w:bottom w:val="nil"/>
              <w:right w:val="nil"/>
            </w:tcBorders>
            <w:shd w:val="clear" w:color="auto" w:fill="auto"/>
            <w:hideMark/>
          </w:tcPr>
          <w:p w:rsidR="00EF5D60" w:rsidRPr="00E04256" w:rsidRDefault="00EF5D60" w:rsidP="006A369B">
            <w:pPr>
              <w:rPr>
                <w:rFonts w:cs="Times New Roman"/>
                <w:sz w:val="28"/>
                <w:szCs w:val="28"/>
              </w:rPr>
            </w:pPr>
            <w:r w:rsidRPr="00E04256">
              <w:rPr>
                <w:rFonts w:cs="Times New Roman"/>
                <w:sz w:val="28"/>
                <w:szCs w:val="28"/>
              </w:rPr>
              <w:t>ПРОГНОЗ СОЦИАЛЬНО-ЭКОНОМИЧЕСКОГО РАЗВИТИЯ НА 2020-2022 ГОДЫ</w:t>
            </w:r>
          </w:p>
        </w:tc>
      </w:tr>
      <w:tr w:rsidR="00EF5D60" w:rsidRPr="00EF5D60" w:rsidTr="006A369B">
        <w:trPr>
          <w:trHeight w:val="600"/>
        </w:trPr>
        <w:tc>
          <w:tcPr>
            <w:tcW w:w="15473" w:type="dxa"/>
            <w:gridSpan w:val="11"/>
            <w:tcBorders>
              <w:top w:val="nil"/>
              <w:left w:val="nil"/>
              <w:bottom w:val="nil"/>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Городской округ Электросталь</w:t>
            </w:r>
            <w:r w:rsidRPr="00E04256">
              <w:rPr>
                <w:rFonts w:cs="Times New Roman"/>
                <w:b/>
                <w:bCs/>
                <w:sz w:val="20"/>
                <w:szCs w:val="20"/>
              </w:rPr>
              <w:br/>
              <w:t>Источник данных: Данные муниципальных образований (прогноз)</w:t>
            </w:r>
          </w:p>
        </w:tc>
      </w:tr>
      <w:tr w:rsidR="00EF5D60" w:rsidRPr="00EF5D60" w:rsidTr="006A369B">
        <w:trPr>
          <w:trHeight w:val="60"/>
        </w:trPr>
        <w:tc>
          <w:tcPr>
            <w:tcW w:w="2981" w:type="dxa"/>
            <w:tcBorders>
              <w:top w:val="nil"/>
              <w:left w:val="nil"/>
              <w:bottom w:val="single" w:sz="4" w:space="0" w:color="000000"/>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 </w:t>
            </w:r>
          </w:p>
        </w:tc>
        <w:tc>
          <w:tcPr>
            <w:tcW w:w="1297" w:type="dxa"/>
            <w:tcBorders>
              <w:top w:val="nil"/>
              <w:left w:val="nil"/>
              <w:bottom w:val="single" w:sz="4" w:space="0" w:color="000000"/>
              <w:right w:val="nil"/>
            </w:tcBorders>
            <w:shd w:val="clear" w:color="auto" w:fill="auto"/>
            <w:hideMark/>
          </w:tcPr>
          <w:p w:rsidR="00EF5D60" w:rsidRPr="00E04256" w:rsidRDefault="00EF5D60" w:rsidP="006A369B">
            <w:pPr>
              <w:rPr>
                <w:rFonts w:cs="Times New Roman"/>
                <w:b/>
                <w:bCs/>
                <w:sz w:val="20"/>
                <w:szCs w:val="20"/>
              </w:rPr>
            </w:pPr>
            <w:r w:rsidRPr="00E04256">
              <w:rPr>
                <w:rFonts w:cs="Times New Roman"/>
                <w:b/>
                <w:bCs/>
                <w:sz w:val="20"/>
                <w:szCs w:val="20"/>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00"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328"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329"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nil"/>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r>
      <w:tr w:rsidR="00EF5D60" w:rsidRPr="00EF5D60" w:rsidTr="006A369B">
        <w:trPr>
          <w:trHeight w:val="330"/>
        </w:trPr>
        <w:tc>
          <w:tcPr>
            <w:tcW w:w="298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Показатели</w:t>
            </w:r>
          </w:p>
        </w:tc>
        <w:tc>
          <w:tcPr>
            <w:tcW w:w="129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Единицы измерения</w:t>
            </w:r>
          </w:p>
        </w:tc>
        <w:tc>
          <w:tcPr>
            <w:tcW w:w="2446"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Отчет</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Оценка</w:t>
            </w:r>
          </w:p>
        </w:tc>
        <w:tc>
          <w:tcPr>
            <w:tcW w:w="2423"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2020</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2021</w:t>
            </w:r>
          </w:p>
        </w:tc>
        <w:tc>
          <w:tcPr>
            <w:tcW w:w="2552" w:type="dxa"/>
            <w:gridSpan w:val="2"/>
            <w:tcBorders>
              <w:top w:val="single" w:sz="4" w:space="0" w:color="000000"/>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2022</w:t>
            </w:r>
          </w:p>
        </w:tc>
      </w:tr>
      <w:tr w:rsidR="00EF5D60" w:rsidRPr="00EF5D60" w:rsidTr="006A369B">
        <w:trPr>
          <w:trHeight w:val="1005"/>
        </w:trPr>
        <w:tc>
          <w:tcPr>
            <w:tcW w:w="2981" w:type="dxa"/>
            <w:vMerge/>
            <w:tcBorders>
              <w:top w:val="nil"/>
              <w:left w:val="single" w:sz="4" w:space="0" w:color="000000"/>
              <w:bottom w:val="single" w:sz="4" w:space="0" w:color="000000"/>
              <w:right w:val="single" w:sz="4" w:space="0" w:color="000000"/>
            </w:tcBorders>
            <w:vAlign w:val="center"/>
            <w:hideMark/>
          </w:tcPr>
          <w:p w:rsidR="00EF5D60" w:rsidRPr="00E04256" w:rsidRDefault="00EF5D60" w:rsidP="006A369B">
            <w:pPr>
              <w:rPr>
                <w:rFonts w:cs="Times New Roman"/>
                <w:b/>
                <w:bCs/>
                <w:sz w:val="18"/>
                <w:szCs w:val="18"/>
              </w:rPr>
            </w:pPr>
          </w:p>
        </w:tc>
        <w:tc>
          <w:tcPr>
            <w:tcW w:w="1297" w:type="dxa"/>
            <w:vMerge/>
            <w:tcBorders>
              <w:top w:val="nil"/>
              <w:left w:val="single" w:sz="4" w:space="0" w:color="000000"/>
              <w:bottom w:val="single" w:sz="4" w:space="0" w:color="000000"/>
              <w:right w:val="single" w:sz="4" w:space="0" w:color="000000"/>
            </w:tcBorders>
            <w:vAlign w:val="center"/>
            <w:hideMark/>
          </w:tcPr>
          <w:p w:rsidR="00EF5D60" w:rsidRPr="00E04256" w:rsidRDefault="00EF5D60" w:rsidP="006A369B">
            <w:pPr>
              <w:rPr>
                <w:rFonts w:cs="Times New Roman"/>
                <w:b/>
                <w:bCs/>
                <w:sz w:val="18"/>
                <w:szCs w:val="18"/>
              </w:rPr>
            </w:pP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2017</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2018</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2019</w:t>
            </w:r>
          </w:p>
        </w:tc>
        <w:tc>
          <w:tcPr>
            <w:tcW w:w="1200"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(консерва</w:t>
            </w:r>
            <w:r w:rsidR="006A369B">
              <w:rPr>
                <w:rFonts w:cs="Times New Roman"/>
                <w:b/>
                <w:bCs/>
                <w:sz w:val="18"/>
                <w:szCs w:val="18"/>
              </w:rPr>
              <w:t xml:space="preserve"> </w:t>
            </w:r>
            <w:r w:rsidRPr="00E04256">
              <w:rPr>
                <w:rFonts w:cs="Times New Roman"/>
                <w:b/>
                <w:bCs/>
                <w:sz w:val="18"/>
                <w:szCs w:val="18"/>
              </w:rPr>
              <w:t>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c>
          <w:tcPr>
            <w:tcW w:w="1328"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c>
          <w:tcPr>
            <w:tcW w:w="1329"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1 (консервативный)</w:t>
            </w:r>
          </w:p>
        </w:tc>
        <w:tc>
          <w:tcPr>
            <w:tcW w:w="1223"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b/>
                <w:bCs/>
                <w:sz w:val="18"/>
                <w:szCs w:val="18"/>
              </w:rPr>
            </w:pPr>
            <w:r w:rsidRPr="00E04256">
              <w:rPr>
                <w:rFonts w:cs="Times New Roman"/>
                <w:b/>
                <w:bCs/>
                <w:sz w:val="18"/>
                <w:szCs w:val="18"/>
              </w:rPr>
              <w:t>Прогноз вариант 2 (базовый)</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 Демографические показатели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Численность постоянного населения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166 234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165 138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164 986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164 551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165 057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164 239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165 105</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Число родившихся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Число умерших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2 072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Естественный прирост (убыль)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Миграционный прирост (убыль)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456</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(среднегодовая)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166 365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165 799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165 251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164 976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165 062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164 683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164 395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165 081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по численности постоянного населения, в том числе в возрасте: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от 2 месяцев до 3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4 898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4 116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4 022</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 3 до 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8 894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8 721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8 726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8 502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8 510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8 153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8 163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 7 до 17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15 784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16 168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16 390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16 401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16 791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17 112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17 162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0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1 427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1 449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1 412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2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1 437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3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4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5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6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1 780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1 849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8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1 812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9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1 695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10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1 662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1 742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11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1 532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1 651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12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1 520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13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1 492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1 462</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14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1 481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15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1 386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1 318</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16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постоянного населения в возрасте 17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1 354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1 323</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3. Промышленное производство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Объем отгруженных товаров собственного производства, выполненных работ и услуг собственными силами по промышленным видам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 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57 425,1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53 945,2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54 132,5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54 616,7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55 859,9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56 155,4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57 987,5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58 245,2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60 720,7</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видам экономической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"Добыча полезных ископаемых"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55 136,0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51 695,9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52 159,8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53 350,2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53 620,3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55 377,5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55 604,2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57 980,2</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"Обрабатывающие производства"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1 545,1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1 560,6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1 577,5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1 607,4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1 671,7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1 689,9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1 755,2</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"Обеспечение электрической энергией, газом и паром; кондиционирование воздуха"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938,3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985,3</w:t>
            </w:r>
          </w:p>
        </w:tc>
      </w:tr>
      <w:tr w:rsidR="00EF5D60" w:rsidRPr="00EF5D60" w:rsidTr="006A369B">
        <w:trPr>
          <w:trHeight w:val="184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виду деятельности "Водоснабжение; водоотведение, организация сбора и утилизации отходов, деятельность по ликвидации загрязнений"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Объем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млн.руб.в ценах соответствующих лет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52 505,5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48 486,0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48 631,5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50 187,7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50 593,1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52 094,8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54 543,3</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объема отгруженных товаров собственного производства, выполненных работ и услуг собственными силами по промышленным видам деятельности по крупным и средним организациям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4. Сельское хозяйство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Производство важнейших видов сельскохозяйственной продукции в натуральном выражении: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Культуры зерновые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культур зерновых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Семена и плоды масличных культур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семян и плодов масличных культур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Картофель</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529</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картофеля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Овощи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10 686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10 792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10 792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10 827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10 814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10 998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овощей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Скот и птица на убой (в живом весе)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скота и птицы на убой (в живом весе)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19,2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118,2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123,1</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Молоко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тонн</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молока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Яйца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штук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производства яиц</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6. Транспорт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Протяженность автомобильных дорог общего пользования с твердым типом покрытия местного значения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километр</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115,30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156,30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7. Малое и среднее предпринимательство,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Число малых и средних предприятий, включая микропредприятия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1 978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1 998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в том числе,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1 957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1 983</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8. Инвестиции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Инвестиции в основной капитал за счет всех источников финансирования: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ценах соответствующих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5 929,55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7 059,83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7 568,28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5 052,05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6 969,54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116,4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Инвестиции в основной капитал за счет всех источников финансирования (без субъектов малого предпринимательства и объемов инвестиций, не наблюдаемых прямыми статистическими методами)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4 459,55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4 325,03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3 368,28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3 474,65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3 552,05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3 588,00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3 753,15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3 705,23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3 969,54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74,1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Инвестиции в основной капитал за счет всех источников финансирования в ценах соответствующих лет в малом предпринимательстве (включая микропредприятия и индивидуальное жилищное строительство)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1 470,00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2 734,80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2 000,00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3 000,00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Инвестиции в основной капитал (без субъектов малого предпринимательства и параметров неформальной деятельности) из местных бюджетов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148,24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40,57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71,37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48,33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9. Строительство и жилищно-коммунальное хозяйство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Объем работ, выполненных по виду экономической деятельности «Строительство» (Раздел F)</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1 469,04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953,64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1 100,00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1 200,00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1 150,00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1 300,00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1 200,00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1 400,00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производства по виду деятельности «Строительство» (Раздел F)</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186,1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112,8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Ввод в действие жилых домов, построенных за счёт всех источников финансирования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Индивидуальные жилые дома, построенные населением за счет собственных и (или) кредитных средств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общей площади</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41,80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Уровень обеспеченности населения жильем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 м на человека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22,28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22,34</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Жилищный фонд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3 447,60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3 547,40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3 581,60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3 665,60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3 667,70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3 674,64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3 677,54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3 684,74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3 688,34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Общая площадь ветхих и аварийных жилых помещений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Общая площадь аварийных жилых помещений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из них: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Общая площадь аварийных жилых помещений (на конец года) - без учета Договора о развитии застроенной территории (ДоРЗТ)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Общая площадь аварийных жилых помещений (на конец года) в ДоРЗТ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Общая площадь аварийных жилых помещений (на конец года) - по инвестиционным контрактам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ветхих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7,90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Ликвидировано ветхого и аварийного жилищного фонда за год</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0,36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том числе: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Ликвидировано аварийного жилищного фонда за год</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из них: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Ликвидировано аварийного жилищного фонда за год - без учета ДоРЗТ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Ликвидировано аварийного жилищного фонда за год в ДоРЗТ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Ликвидировано аварийного жилищного фонда за год по инвестиционным контрактам</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ветхого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11. Финансы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Прибыль</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8 905 033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6 245 791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6 083 485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6 201 000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6 401 500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6 451 000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6 801 700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7 301 000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7 801 800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прибыли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97,4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Прибыль по крупным и средним организациям - всего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4 045 791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3 783 485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4 001 500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4 901 000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5 201 800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по крупным и средним организациям - всего</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120,9</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Прибыль по организациям, не относящимся к субъектам малого предпринимательства, средняя численность работников которых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6 611 589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4 044 791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3 782 485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4 000 000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4 900 000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5 200 000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120,9</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Прибыль по организациям, не относящимся к субъектам малого предпринимательства, средняя численность работников которых не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1 700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1 800</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прибыли по организациям, не относящимся к субъектам малого предпринимательства, средняя численность работников которых не превышает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Прибыль по малым предприятиям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2 293 444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2 200 000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2 300 000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2 400 000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2 350 000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2 500 000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2 400 000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2 600 000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прибыли по малым предприятиям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12. Труд и заработная плата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созданных рабочих мест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400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Численность официально зарегистрированных безработных,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Фонд начисленной заработной платы всех работников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21 025,4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22 019,5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23 192,1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24 089,2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24 473,3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25 442,2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25 934,9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26 864,5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27 500,6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фонда заработной платы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Фонд заработной платы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16 329,9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17 819,5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18 942,1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19 889,2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20 173,3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21 142,2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21 524,9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22 967,1</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фонда заработной платы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106,7</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Фонд заработной платы по малым предприятиям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4 533,5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фонда заработной платы по малым предприятиям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 работников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38 058,9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42 424,8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44 786,6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46 295,8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46 926,9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48 633,6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49 379,5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51 148,3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51 989,9</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номинальной начисленной заработной платы работников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105,3</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заработная плата работников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44 784,6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47 461,0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50 806,5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53 134,8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53 786,9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56 256,8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57 047,4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59 563,3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60 506,0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заработной платы работников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заработная плата работников малых предриятий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30 349,6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заработной платы работников малых предриятий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Среднесписочная численность работников (без внешних совместителей)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43 252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43 153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43 361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43 460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43 768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43 769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44 080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среднесписочной численности работников (без внешних совместителей) по полному кругу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95,3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99,8</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Среднесписочная численность работников организаций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31 288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31 069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31 193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31 255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31 318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31 443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31 443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31 632</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среднесписочной численности работников организаций по крупным и средним организациям (включая организации с численностью до 15 человек)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Среднесписочная численность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12 448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среднесписочной численности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заработная плата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25 001,1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29 254,4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29 308,7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28 764,0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29 359,6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29 187,4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29 817,4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29 681,8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30 349,6</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заработной платы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Фонд заработной платы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4 695,5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4 410,0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4 390,3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4 533,5</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фонда заработной платы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Среднесписочная численность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15 651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11 964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12 084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12 168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12 205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12 277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12 326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12 448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среднесписочной численности работников малых предприятий (включая микропредприятия)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358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заработная плата работников бюджетной сферы и отношение средней заработной платы отдельных категорий работников бюджетной сферы к среднемесячному доходу от трудовой деятельности по Московской области в соответствии с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 родителей»: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номинальная начисленная заработная плата работников (по полному кругу организаций) по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46 835,8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51 937,5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56 111,3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59 926,9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60 039,1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64 361,5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64 782,2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69 252,9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69 964,8</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начисленная заработная плата наёмных работников в организациях, у индивидуальных предпринимателей и физических лиц (среднемесячный доход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41 921,0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45 377,0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61 256,0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номинальная начисленная заработная плата работников в общеобразовательных организациях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45 877,6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49 979,4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Среднемесячная номинальная начисленная заработная плата учителей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51 451,7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55 683,8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общеобразовательных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48 474,2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50 273,1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52 537,1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52 589,6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53 062,5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52 642,2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53 593,1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52 694,9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54 129,0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номинальной начисленной заработной платы педагогических работников общеобразовательных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104,5</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дошкольных 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48 211,1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50 684,5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51 526,4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52 041,7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52 299,3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52 562,1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53 083,8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53 880,1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номинальной начисленной заработной платы педагогических работников дошкольных образовательных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педагогических работников организаций дополнительного образования детей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48 120,0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53 922,3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59 295,6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59 888,6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60 185,0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60 487,5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61 087,8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61 092,4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62 004,1</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Справочно:Темп роста среднемесячной номинальной начисленной заработной платы педагогических работников организаций дополнительного образования детей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112,1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r>
      <w:tr w:rsidR="00EF5D60" w:rsidRPr="00EF5D60" w:rsidTr="006A369B">
        <w:trPr>
          <w:trHeight w:val="120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педагогических работников общеобразовательных организаций к средней заработной плате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96,80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88,38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82,73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76,09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77,37</w:t>
            </w:r>
          </w:p>
        </w:tc>
      </w:tr>
      <w:tr w:rsidR="00EF5D60" w:rsidRPr="00EF5D60" w:rsidTr="006A369B">
        <w:trPr>
          <w:trHeight w:val="207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педагогических работников общеобразовательных организаций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115,6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110,8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94,5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88,4</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среднемесячной заработной платы педагогических работников дошкольных образовательных организаций к среднемесячной заработной плате в общеобразовательных организациях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среднемесячной заработной платы педагогических работников организаций дополнительного образования детей к среднемесячной заработной плате учителей в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Культура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Среднемесячная номинальная начисленная заработная плата работников муниципальных учреждений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рубль</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37 469,8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47 247,9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49 081,4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52 419,0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52 517,1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56 350,4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56 718,5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60 633,0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61 256,0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темп роста среднемесячной номинальной начисленной заработной платы работников муниципальных учреждений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108,0</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работников учреждений культуры к средней заработной плате по Московской области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87,47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87,55</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Отношение средней заработной платы работников учреждений культуры к среднемесячной начисленной заработной плате наёмных работников в организациях, у индивидуальных предпринимателей и физических лиц (среднемесячному доходу от трудовой деятельности)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89,4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14. Торговля и услуги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Обеспеченность населения площадью торговых объектов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кв.метров на 1000 чел.</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1 292,3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1 601,2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1 613,0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1 617,0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1 621,9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1 622,2</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1 627,2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1 625,3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Площадь торговых объектов предприятий розничной торговли (на конец года)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215,0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264,6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266,9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267,5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268,3</w:t>
            </w:r>
          </w:p>
        </w:tc>
      </w:tr>
      <w:tr w:rsidR="00EF5D60" w:rsidRPr="00EF5D60" w:rsidTr="006A369B">
        <w:trPr>
          <w:trHeight w:val="163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Площадь объектов оптовой торговли (складские помещения, оптово-распределительные центры, оптово-логистические центры, торгово-складские комплексы, логистические комплексы, стационарные оптовые рынки, распределительные холодильники и др.)</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51,20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Оборот розничной торговли: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в ценах соответствующих лет</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млн. рублей</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27 118,2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34 512,6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38 112,7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39 837,9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39 958,6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41 929,7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42 264,3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44 087,7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44 659,1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индекс физического объема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102,6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индекс-дефлятор цен</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 к предыдущему году</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107,6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103,9</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b/>
                <w:bCs/>
                <w:sz w:val="18"/>
                <w:szCs w:val="18"/>
              </w:rPr>
            </w:pPr>
            <w:r w:rsidRPr="00E04256">
              <w:rPr>
                <w:rFonts w:cs="Times New Roman"/>
                <w:b/>
                <w:bCs/>
                <w:sz w:val="18"/>
                <w:szCs w:val="18"/>
              </w:rPr>
              <w:t>17.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Дошкольное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дошкольных образовательных муниципальных организаций, реализующих образовательные программы дошкольного образования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Число мест в дошкольных муниципальных 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7 137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7 633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7 493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7 633</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Потребность в увеличении числа мест в дошкольных 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Общее образование:</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Количество общеобразовательных муниципальных организаций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w:t>
            </w:r>
          </w:p>
        </w:tc>
      </w:tr>
      <w:tr w:rsidR="00EF5D60" w:rsidRPr="00EF5D60" w:rsidTr="006A369B">
        <w:trPr>
          <w:trHeight w:val="141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Доля обучающихся в государственных (муниципальных) общеобразовательных организациях, занимающихся в одну смену, в общей численности обучающихся в государственных (муниципальных) общеобразовательных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процент</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99,4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100,0</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Общая численность обучающихся в государственных (муниципальных) общеобразовательных организациях</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17,1</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Численность обучающихся в государственных (муниципальных) общеобразовательных организациях, занимающихся в одну смену</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14,9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16,6</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17,1</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04256" w:rsidRDefault="00E04256" w:rsidP="006A369B">
            <w:pPr>
              <w:rPr>
                <w:rFonts w:cs="Times New Roman"/>
                <w:b/>
                <w:bCs/>
                <w:sz w:val="18"/>
                <w:szCs w:val="18"/>
              </w:rPr>
            </w:pPr>
          </w:p>
          <w:p w:rsidR="00EF5D60" w:rsidRDefault="00EF5D60" w:rsidP="006A369B">
            <w:pPr>
              <w:rPr>
                <w:rFonts w:cs="Times New Roman"/>
                <w:b/>
                <w:bCs/>
                <w:sz w:val="18"/>
                <w:szCs w:val="18"/>
              </w:rPr>
            </w:pPr>
            <w:r w:rsidRPr="00E04256">
              <w:rPr>
                <w:rFonts w:cs="Times New Roman"/>
                <w:b/>
                <w:bCs/>
                <w:sz w:val="18"/>
                <w:szCs w:val="18"/>
              </w:rPr>
              <w:t>18. Культура и туризм</w:t>
            </w:r>
          </w:p>
          <w:p w:rsidR="00E04256" w:rsidRPr="00E04256" w:rsidRDefault="00E04256" w:rsidP="006A369B">
            <w:pPr>
              <w:rPr>
                <w:rFonts w:cs="Times New Roman"/>
                <w:b/>
                <w:bCs/>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Уровень обеспеченности населения:</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театрами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наличие театров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общедоступными библиотеками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6,66</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наличие общедоступных библиотек</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учреждениями культурно-досугового типа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2,41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4,24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наличие учреждений культурно-досугового типа</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7</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музеями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 на 100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0,61</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наличие музеев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единица</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Число детей, привлекаемых к участию в творческих мероприятиях в сфере культуры</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человек</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1 647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3 187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3 877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3 977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4 100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4 200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4 300</w:t>
            </w:r>
          </w:p>
        </w:tc>
      </w:tr>
      <w:tr w:rsidR="00EF5D60" w:rsidRPr="00EF5D60" w:rsidTr="006A369B">
        <w:trPr>
          <w:trHeight w:val="33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04256" w:rsidRDefault="00E04256" w:rsidP="006A369B">
            <w:pPr>
              <w:rPr>
                <w:rFonts w:cs="Times New Roman"/>
                <w:b/>
                <w:bCs/>
                <w:sz w:val="18"/>
                <w:szCs w:val="18"/>
              </w:rPr>
            </w:pPr>
          </w:p>
          <w:p w:rsidR="00EF5D60" w:rsidRDefault="00EF5D60" w:rsidP="006A369B">
            <w:pPr>
              <w:rPr>
                <w:rFonts w:cs="Times New Roman"/>
                <w:b/>
                <w:bCs/>
                <w:sz w:val="18"/>
                <w:szCs w:val="18"/>
              </w:rPr>
            </w:pPr>
            <w:r w:rsidRPr="00E04256">
              <w:rPr>
                <w:rFonts w:cs="Times New Roman"/>
                <w:b/>
                <w:bCs/>
                <w:sz w:val="18"/>
                <w:szCs w:val="18"/>
              </w:rPr>
              <w:t>19. Физическая культура и спорт</w:t>
            </w:r>
          </w:p>
          <w:p w:rsidR="00E04256" w:rsidRPr="00E04256" w:rsidRDefault="00E04256" w:rsidP="006A369B">
            <w:pPr>
              <w:rPr>
                <w:rFonts w:cs="Times New Roman"/>
                <w:b/>
                <w:bCs/>
                <w:sz w:val="18"/>
                <w:szCs w:val="18"/>
              </w:rPr>
            </w:pP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Обеспеченность населения спортивными сооружениями: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 </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спортивными залами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0,97</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0,97</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1,04</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0,98</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1,03</w:t>
            </w:r>
          </w:p>
        </w:tc>
      </w:tr>
      <w:tr w:rsidR="00EF5D60" w:rsidRPr="00EF5D60" w:rsidTr="006A369B">
        <w:trPr>
          <w:trHeight w:val="3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мощность спортивных залов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15,759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16,040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16,070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17,078</w:t>
            </w:r>
          </w:p>
        </w:tc>
      </w:tr>
      <w:tr w:rsidR="00EF5D60" w:rsidRPr="00EF5D60" w:rsidTr="006A369B">
        <w:trPr>
          <w:trHeight w:val="76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плоскостными сооружениями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 кв. м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5,95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6,44</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6,95</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6,45</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6,95</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6,46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6,94</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мощность плоскостных сооружений</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тыс.кв.м</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98,893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106,102</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114,639</w:t>
            </w:r>
          </w:p>
        </w:tc>
      </w:tr>
      <w:tr w:rsidR="00EF5D60" w:rsidRPr="00EF5D60" w:rsidTr="006A369B">
        <w:trPr>
          <w:trHeight w:val="975"/>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плавательными бассейнами</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 м зеркала воды на 10 тыс. населения</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100,76</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101,29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101,43</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101,63</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101,52</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101,79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101,48</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101,99</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101,45</w:t>
            </w:r>
          </w:p>
        </w:tc>
      </w:tr>
      <w:tr w:rsidR="00EF5D60" w:rsidRPr="00EF5D60" w:rsidTr="006A369B">
        <w:trPr>
          <w:trHeight w:val="540"/>
        </w:trPr>
        <w:tc>
          <w:tcPr>
            <w:tcW w:w="2981" w:type="dxa"/>
            <w:tcBorders>
              <w:top w:val="nil"/>
              <w:left w:val="single" w:sz="4" w:space="0" w:color="000000"/>
              <w:bottom w:val="single" w:sz="4" w:space="0" w:color="000000"/>
              <w:right w:val="single" w:sz="4" w:space="0" w:color="000000"/>
            </w:tcBorders>
            <w:shd w:val="clear" w:color="auto" w:fill="auto"/>
            <w:vAlign w:val="center"/>
            <w:hideMark/>
          </w:tcPr>
          <w:p w:rsidR="00EF5D60" w:rsidRPr="00E04256" w:rsidRDefault="00EF5D60" w:rsidP="006A369B">
            <w:pPr>
              <w:rPr>
                <w:rFonts w:cs="Times New Roman"/>
                <w:sz w:val="18"/>
                <w:szCs w:val="18"/>
              </w:rPr>
            </w:pPr>
            <w:r w:rsidRPr="00E04256">
              <w:rPr>
                <w:rFonts w:cs="Times New Roman"/>
                <w:sz w:val="18"/>
                <w:szCs w:val="18"/>
              </w:rPr>
              <w:t>Справочно: мощность плавательных бассейнов</w:t>
            </w:r>
          </w:p>
        </w:tc>
        <w:tc>
          <w:tcPr>
            <w:tcW w:w="1297" w:type="dxa"/>
            <w:tcBorders>
              <w:top w:val="nil"/>
              <w:left w:val="nil"/>
              <w:bottom w:val="single" w:sz="4" w:space="0" w:color="000000"/>
              <w:right w:val="single" w:sz="4" w:space="0" w:color="000000"/>
            </w:tcBorders>
            <w:shd w:val="clear" w:color="auto" w:fill="auto"/>
            <w:vAlign w:val="center"/>
            <w:hideMark/>
          </w:tcPr>
          <w:p w:rsidR="00EF5D60" w:rsidRPr="00E04256" w:rsidRDefault="00EF5D60" w:rsidP="006A369B">
            <w:pPr>
              <w:jc w:val="center"/>
              <w:rPr>
                <w:rFonts w:cs="Times New Roman"/>
                <w:sz w:val="18"/>
                <w:szCs w:val="18"/>
              </w:rPr>
            </w:pPr>
            <w:r w:rsidRPr="00E04256">
              <w:rPr>
                <w:rFonts w:cs="Times New Roman"/>
                <w:sz w:val="18"/>
                <w:szCs w:val="18"/>
              </w:rPr>
              <w:t>кв.м зеркала воды</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00"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328"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329"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c>
          <w:tcPr>
            <w:tcW w:w="1223" w:type="dxa"/>
            <w:tcBorders>
              <w:top w:val="nil"/>
              <w:left w:val="nil"/>
              <w:bottom w:val="single" w:sz="4" w:space="0" w:color="000000"/>
              <w:right w:val="single" w:sz="4" w:space="0" w:color="000000"/>
            </w:tcBorders>
            <w:shd w:val="clear" w:color="auto" w:fill="auto"/>
            <w:noWrap/>
            <w:vAlign w:val="center"/>
            <w:hideMark/>
          </w:tcPr>
          <w:p w:rsidR="00EF5D60" w:rsidRPr="00E04256" w:rsidRDefault="00EF5D60" w:rsidP="006A369B">
            <w:pPr>
              <w:jc w:val="right"/>
              <w:rPr>
                <w:rFonts w:cs="Times New Roman"/>
              </w:rPr>
            </w:pPr>
            <w:r w:rsidRPr="00E04256">
              <w:rPr>
                <w:rFonts w:cs="Times New Roman"/>
                <w:sz w:val="22"/>
                <w:szCs w:val="22"/>
              </w:rPr>
              <w:t>1 675,00</w:t>
            </w:r>
          </w:p>
        </w:tc>
      </w:tr>
    </w:tbl>
    <w:p w:rsidR="00EF5D60" w:rsidRDefault="00EF5D60" w:rsidP="00EF5D60">
      <w:pPr>
        <w:ind w:left="-142"/>
        <w:jc w:val="both"/>
        <w:rPr>
          <w:rFonts w:cs="Times New Roman"/>
        </w:rPr>
      </w:pPr>
    </w:p>
    <w:p w:rsidR="00FA098C" w:rsidRDefault="00FA098C" w:rsidP="002200D0">
      <w:pPr>
        <w:ind w:firstLine="567"/>
        <w:jc w:val="both"/>
        <w:rPr>
          <w:rFonts w:cs="Times New Roman"/>
        </w:rPr>
      </w:pPr>
    </w:p>
    <w:p w:rsidR="00FA098C" w:rsidRPr="005C3A01" w:rsidRDefault="00FA098C" w:rsidP="002200D0">
      <w:pPr>
        <w:ind w:firstLine="567"/>
        <w:jc w:val="both"/>
        <w:rPr>
          <w:rFonts w:cs="Times New Roman"/>
        </w:rPr>
      </w:pPr>
      <w:r>
        <w:rPr>
          <w:rFonts w:cs="Times New Roman"/>
        </w:rPr>
        <w:t>Верно:                                                       Е.П.Даницкая</w:t>
      </w:r>
    </w:p>
    <w:sectPr w:rsidR="00FA098C" w:rsidRPr="005C3A01" w:rsidSect="006A369B">
      <w:pgSz w:w="16838" w:h="11906" w:orient="landscape"/>
      <w:pgMar w:top="1701" w:right="113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9B" w:rsidRDefault="006A369B" w:rsidP="00D546F7">
      <w:r>
        <w:separator/>
      </w:r>
    </w:p>
  </w:endnote>
  <w:endnote w:type="continuationSeparator" w:id="0">
    <w:p w:rsidR="006A369B" w:rsidRDefault="006A369B" w:rsidP="00D54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9B" w:rsidRDefault="006A369B" w:rsidP="00D546F7">
      <w:r>
        <w:separator/>
      </w:r>
    </w:p>
  </w:footnote>
  <w:footnote w:type="continuationSeparator" w:id="0">
    <w:p w:rsidR="006A369B" w:rsidRDefault="006A369B" w:rsidP="00D54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9666"/>
      <w:docPartObj>
        <w:docPartGallery w:val="Page Numbers (Top of Page)"/>
        <w:docPartUnique/>
      </w:docPartObj>
    </w:sdtPr>
    <w:sdtEndPr/>
    <w:sdtContent>
      <w:p w:rsidR="006A369B" w:rsidRDefault="003605A6">
        <w:pPr>
          <w:pStyle w:val="ab"/>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6A369B" w:rsidRDefault="006A36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B404D5"/>
    <w:multiLevelType w:val="hybridMultilevel"/>
    <w:tmpl w:val="9DD22B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C586830"/>
    <w:multiLevelType w:val="hybridMultilevel"/>
    <w:tmpl w:val="FB14DD36"/>
    <w:lvl w:ilvl="0" w:tplc="D90E9AD8">
      <w:start w:val="1"/>
      <w:numFmt w:val="decimal"/>
      <w:lvlText w:val="%1."/>
      <w:lvlJc w:val="left"/>
      <w:pPr>
        <w:ind w:left="1320" w:hanging="78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77FF3FE0"/>
    <w:multiLevelType w:val="hybridMultilevel"/>
    <w:tmpl w:val="53F8E8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E4282"/>
    <w:rsid w:val="000306DA"/>
    <w:rsid w:val="00030FBA"/>
    <w:rsid w:val="00062431"/>
    <w:rsid w:val="000A3C7B"/>
    <w:rsid w:val="000A690C"/>
    <w:rsid w:val="000B6BB8"/>
    <w:rsid w:val="000D2078"/>
    <w:rsid w:val="000F1450"/>
    <w:rsid w:val="00113AAA"/>
    <w:rsid w:val="00120DF6"/>
    <w:rsid w:val="00136420"/>
    <w:rsid w:val="00173915"/>
    <w:rsid w:val="00177DD0"/>
    <w:rsid w:val="001A0CFF"/>
    <w:rsid w:val="001B57D7"/>
    <w:rsid w:val="001C5AD2"/>
    <w:rsid w:val="001D7001"/>
    <w:rsid w:val="001E4D5D"/>
    <w:rsid w:val="001E6D8E"/>
    <w:rsid w:val="002200D0"/>
    <w:rsid w:val="00225058"/>
    <w:rsid w:val="00235A39"/>
    <w:rsid w:val="0024163F"/>
    <w:rsid w:val="002948BE"/>
    <w:rsid w:val="002B4746"/>
    <w:rsid w:val="002D4479"/>
    <w:rsid w:val="002D7C2C"/>
    <w:rsid w:val="002F0EBB"/>
    <w:rsid w:val="002F5655"/>
    <w:rsid w:val="003165E4"/>
    <w:rsid w:val="003411CE"/>
    <w:rsid w:val="003532F8"/>
    <w:rsid w:val="003605A6"/>
    <w:rsid w:val="00382198"/>
    <w:rsid w:val="00392F1A"/>
    <w:rsid w:val="003A0776"/>
    <w:rsid w:val="003B48BE"/>
    <w:rsid w:val="003B7096"/>
    <w:rsid w:val="00400D86"/>
    <w:rsid w:val="004141B9"/>
    <w:rsid w:val="004325A0"/>
    <w:rsid w:val="004843B9"/>
    <w:rsid w:val="004D37E6"/>
    <w:rsid w:val="004E12D9"/>
    <w:rsid w:val="00503F06"/>
    <w:rsid w:val="0051118A"/>
    <w:rsid w:val="00513D38"/>
    <w:rsid w:val="005248DD"/>
    <w:rsid w:val="0053125A"/>
    <w:rsid w:val="00532B35"/>
    <w:rsid w:val="00551653"/>
    <w:rsid w:val="005523DD"/>
    <w:rsid w:val="00563433"/>
    <w:rsid w:val="005C3A01"/>
    <w:rsid w:val="005C453A"/>
    <w:rsid w:val="00600070"/>
    <w:rsid w:val="00602F10"/>
    <w:rsid w:val="006066B9"/>
    <w:rsid w:val="00614C61"/>
    <w:rsid w:val="00624E9B"/>
    <w:rsid w:val="0064274B"/>
    <w:rsid w:val="00652B2C"/>
    <w:rsid w:val="0067038C"/>
    <w:rsid w:val="006948BD"/>
    <w:rsid w:val="00695D3C"/>
    <w:rsid w:val="006A2C39"/>
    <w:rsid w:val="006A369B"/>
    <w:rsid w:val="006E12B5"/>
    <w:rsid w:val="006F5859"/>
    <w:rsid w:val="00707B78"/>
    <w:rsid w:val="00764646"/>
    <w:rsid w:val="00796A52"/>
    <w:rsid w:val="007C0D02"/>
    <w:rsid w:val="007D5C3A"/>
    <w:rsid w:val="00824A63"/>
    <w:rsid w:val="00840BB6"/>
    <w:rsid w:val="00856BE0"/>
    <w:rsid w:val="00875CBC"/>
    <w:rsid w:val="00885137"/>
    <w:rsid w:val="008C5F3B"/>
    <w:rsid w:val="008F3227"/>
    <w:rsid w:val="00932605"/>
    <w:rsid w:val="00962B99"/>
    <w:rsid w:val="009746AA"/>
    <w:rsid w:val="0099566B"/>
    <w:rsid w:val="009A3F83"/>
    <w:rsid w:val="009D1770"/>
    <w:rsid w:val="00A10057"/>
    <w:rsid w:val="00A37F90"/>
    <w:rsid w:val="00A5608E"/>
    <w:rsid w:val="00A57020"/>
    <w:rsid w:val="00A73E81"/>
    <w:rsid w:val="00A979ED"/>
    <w:rsid w:val="00AB7A17"/>
    <w:rsid w:val="00AC2AD8"/>
    <w:rsid w:val="00AE2A94"/>
    <w:rsid w:val="00B06948"/>
    <w:rsid w:val="00B06CA5"/>
    <w:rsid w:val="00B3085C"/>
    <w:rsid w:val="00B31EDC"/>
    <w:rsid w:val="00B35581"/>
    <w:rsid w:val="00B3794C"/>
    <w:rsid w:val="00B45810"/>
    <w:rsid w:val="00B647D3"/>
    <w:rsid w:val="00BA7709"/>
    <w:rsid w:val="00BD0F35"/>
    <w:rsid w:val="00BF757B"/>
    <w:rsid w:val="00C06251"/>
    <w:rsid w:val="00C22149"/>
    <w:rsid w:val="00C4501A"/>
    <w:rsid w:val="00C57610"/>
    <w:rsid w:val="00C87F9B"/>
    <w:rsid w:val="00CA2128"/>
    <w:rsid w:val="00CC0350"/>
    <w:rsid w:val="00CC47F5"/>
    <w:rsid w:val="00CC58B2"/>
    <w:rsid w:val="00CD3E4F"/>
    <w:rsid w:val="00CF361A"/>
    <w:rsid w:val="00CF7112"/>
    <w:rsid w:val="00D36AB5"/>
    <w:rsid w:val="00D37CEF"/>
    <w:rsid w:val="00D546F7"/>
    <w:rsid w:val="00D70E8F"/>
    <w:rsid w:val="00D77E3D"/>
    <w:rsid w:val="00D9295E"/>
    <w:rsid w:val="00D93DF9"/>
    <w:rsid w:val="00DA3CB8"/>
    <w:rsid w:val="00DB4655"/>
    <w:rsid w:val="00DC292A"/>
    <w:rsid w:val="00DD2ED7"/>
    <w:rsid w:val="00E04256"/>
    <w:rsid w:val="00E159AD"/>
    <w:rsid w:val="00E15C26"/>
    <w:rsid w:val="00E42BF2"/>
    <w:rsid w:val="00E43CA2"/>
    <w:rsid w:val="00E502E8"/>
    <w:rsid w:val="00E67667"/>
    <w:rsid w:val="00E80A7D"/>
    <w:rsid w:val="00EA6405"/>
    <w:rsid w:val="00EC13A5"/>
    <w:rsid w:val="00EC2B78"/>
    <w:rsid w:val="00ED38B8"/>
    <w:rsid w:val="00EF5D60"/>
    <w:rsid w:val="00F01393"/>
    <w:rsid w:val="00F148CE"/>
    <w:rsid w:val="00F31591"/>
    <w:rsid w:val="00F50721"/>
    <w:rsid w:val="00F52112"/>
    <w:rsid w:val="00F606D7"/>
    <w:rsid w:val="00F660E4"/>
    <w:rsid w:val="00F94FF5"/>
    <w:rsid w:val="00FA098C"/>
    <w:rsid w:val="00FB10AF"/>
    <w:rsid w:val="00FB7053"/>
    <w:rsid w:val="00FE4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71049A-A74D-4BF7-B2D3-58A71416D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282"/>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E428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FE4282"/>
    <w:rPr>
      <w:rFonts w:ascii="Calibri" w:eastAsia="Times New Roman" w:hAnsi="Calibri" w:cs="Calibri"/>
      <w:szCs w:val="20"/>
      <w:lang w:eastAsia="ru-RU"/>
    </w:rPr>
  </w:style>
  <w:style w:type="paragraph" w:styleId="a3">
    <w:name w:val="List Paragraph"/>
    <w:basedOn w:val="a"/>
    <w:link w:val="a4"/>
    <w:uiPriority w:val="99"/>
    <w:qFormat/>
    <w:rsid w:val="00FE4282"/>
    <w:pPr>
      <w:ind w:left="720"/>
      <w:contextualSpacing/>
    </w:pPr>
    <w:rPr>
      <w:rFonts w:cs="Times New Roman"/>
    </w:rPr>
  </w:style>
  <w:style w:type="character" w:customStyle="1" w:styleId="a4">
    <w:name w:val="Абзац списка Знак"/>
    <w:link w:val="a3"/>
    <w:uiPriority w:val="99"/>
    <w:locked/>
    <w:rsid w:val="00FE4282"/>
    <w:rPr>
      <w:rFonts w:ascii="Times New Roman" w:eastAsia="Times New Roman" w:hAnsi="Times New Roman" w:cs="Times New Roman"/>
      <w:sz w:val="24"/>
      <w:szCs w:val="24"/>
    </w:rPr>
  </w:style>
  <w:style w:type="paragraph" w:styleId="a5">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99"/>
    <w:qFormat/>
    <w:rsid w:val="00FE4282"/>
    <w:pPr>
      <w:spacing w:before="75" w:after="75"/>
    </w:pPr>
    <w:rPr>
      <w:rFonts w:ascii="Tahoma" w:hAnsi="Tahoma" w:cs="Times New Roman"/>
    </w:rPr>
  </w:style>
  <w:style w:type="character" w:customStyle="1" w:styleId="a6">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FE4282"/>
    <w:rPr>
      <w:rFonts w:ascii="Tahoma" w:eastAsia="Times New Roman" w:hAnsi="Tahoma" w:cs="Times New Roman"/>
      <w:sz w:val="24"/>
      <w:szCs w:val="24"/>
    </w:rPr>
  </w:style>
  <w:style w:type="paragraph" w:styleId="a7">
    <w:name w:val="No Spacing"/>
    <w:qFormat/>
    <w:rsid w:val="00FE4282"/>
    <w:pPr>
      <w:spacing w:after="0" w:line="240" w:lineRule="auto"/>
    </w:pPr>
    <w:rPr>
      <w:rFonts w:ascii="Calibri" w:eastAsia="Times New Roman" w:hAnsi="Calibri" w:cs="Times New Roman"/>
      <w:lang w:eastAsia="ru-RU"/>
    </w:rPr>
  </w:style>
  <w:style w:type="paragraph" w:customStyle="1" w:styleId="a8">
    <w:name w:val="Базовый"/>
    <w:rsid w:val="00FE4282"/>
    <w:pPr>
      <w:tabs>
        <w:tab w:val="left" w:pos="709"/>
      </w:tabs>
      <w:suppressAutoHyphens/>
      <w:spacing w:after="0" w:line="100" w:lineRule="atLeast"/>
    </w:pPr>
    <w:rPr>
      <w:rFonts w:ascii="Calibri" w:eastAsia="DejaVu Sans" w:hAnsi="Calibri" w:cs="Times New Roman"/>
      <w:lang w:eastAsia="ru-RU"/>
    </w:rPr>
  </w:style>
  <w:style w:type="paragraph" w:styleId="3">
    <w:name w:val="Body Text Indent 3"/>
    <w:basedOn w:val="a"/>
    <w:link w:val="30"/>
    <w:rsid w:val="00FE4282"/>
    <w:pPr>
      <w:spacing w:after="120"/>
      <w:ind w:left="283"/>
    </w:pPr>
    <w:rPr>
      <w:rFonts w:cs="Times New Roman"/>
      <w:sz w:val="16"/>
      <w:szCs w:val="16"/>
    </w:rPr>
  </w:style>
  <w:style w:type="character" w:customStyle="1" w:styleId="30">
    <w:name w:val="Основной текст с отступом 3 Знак"/>
    <w:basedOn w:val="a0"/>
    <w:link w:val="3"/>
    <w:rsid w:val="00FE4282"/>
    <w:rPr>
      <w:rFonts w:ascii="Times New Roman" w:eastAsia="Times New Roman" w:hAnsi="Times New Roman" w:cs="Times New Roman"/>
      <w:sz w:val="16"/>
      <w:szCs w:val="16"/>
      <w:lang w:eastAsia="ru-RU"/>
    </w:rPr>
  </w:style>
  <w:style w:type="paragraph" w:customStyle="1" w:styleId="2">
    <w:name w:val="Без интервала2"/>
    <w:rsid w:val="00FE4282"/>
    <w:pPr>
      <w:spacing w:after="0" w:line="240" w:lineRule="auto"/>
    </w:pPr>
    <w:rPr>
      <w:rFonts w:ascii="Times New Roman" w:eastAsia="Times New Roman" w:hAnsi="Times New Roman" w:cs="Times New Roman"/>
      <w:sz w:val="24"/>
    </w:rPr>
  </w:style>
  <w:style w:type="character" w:customStyle="1" w:styleId="apple-converted-space">
    <w:name w:val="apple-converted-space"/>
    <w:rsid w:val="00FE4282"/>
    <w:rPr>
      <w:rFonts w:cs="Times New Roman"/>
    </w:rPr>
  </w:style>
  <w:style w:type="paragraph" w:styleId="a9">
    <w:name w:val="footnote text"/>
    <w:aliases w:val="Текст сноски-FN,ft,Footnote Text Char Знак Знак,Footnote Text Char Знак,single space,-++,Текст сноски Знак1 Знак,Текст сноски Знак Знак Знак,Текст сноски Знак1,Текст сноски Знак Знак,Текст сноски Знак1 Знак Знак"/>
    <w:basedOn w:val="a"/>
    <w:link w:val="aa"/>
    <w:rsid w:val="00FE4282"/>
    <w:pPr>
      <w:ind w:left="760" w:hanging="357"/>
    </w:pPr>
    <w:rPr>
      <w:rFonts w:ascii="Calibri" w:hAnsi="Calibri" w:cs="Times New Roman"/>
      <w:sz w:val="20"/>
      <w:szCs w:val="20"/>
      <w:lang w:eastAsia="en-US"/>
    </w:rPr>
  </w:style>
  <w:style w:type="character" w:customStyle="1" w:styleId="aa">
    <w:name w:val="Текст сноски Знак"/>
    <w:aliases w:val="Текст сноски-FN Знак,ft Знак,Footnote Text Char Знак Знак Знак,Footnote Text Char Знак Знак1,single space Знак,-++ Знак,Текст сноски Знак1 Знак Знак1,Текст сноски Знак Знак Знак Знак,Текст сноски Знак1 Знак1"/>
    <w:basedOn w:val="a0"/>
    <w:link w:val="a9"/>
    <w:rsid w:val="00FE4282"/>
    <w:rPr>
      <w:rFonts w:ascii="Calibri" w:eastAsia="Times New Roman" w:hAnsi="Calibri" w:cs="Times New Roman"/>
      <w:sz w:val="20"/>
      <w:szCs w:val="20"/>
    </w:rPr>
  </w:style>
  <w:style w:type="paragraph" w:styleId="ab">
    <w:name w:val="header"/>
    <w:basedOn w:val="a"/>
    <w:link w:val="ac"/>
    <w:uiPriority w:val="99"/>
    <w:unhideWhenUsed/>
    <w:rsid w:val="00D546F7"/>
    <w:pPr>
      <w:tabs>
        <w:tab w:val="center" w:pos="4677"/>
        <w:tab w:val="right" w:pos="9355"/>
      </w:tabs>
    </w:pPr>
  </w:style>
  <w:style w:type="character" w:customStyle="1" w:styleId="ac">
    <w:name w:val="Верхний колонтитул Знак"/>
    <w:basedOn w:val="a0"/>
    <w:link w:val="ab"/>
    <w:uiPriority w:val="99"/>
    <w:rsid w:val="00D546F7"/>
    <w:rPr>
      <w:rFonts w:ascii="Times New Roman" w:eastAsia="Times New Roman" w:hAnsi="Times New Roman" w:cs="Arial"/>
      <w:sz w:val="24"/>
      <w:szCs w:val="24"/>
      <w:lang w:eastAsia="ru-RU"/>
    </w:rPr>
  </w:style>
  <w:style w:type="paragraph" w:styleId="ad">
    <w:name w:val="footer"/>
    <w:basedOn w:val="a"/>
    <w:link w:val="ae"/>
    <w:uiPriority w:val="99"/>
    <w:unhideWhenUsed/>
    <w:rsid w:val="00D546F7"/>
    <w:pPr>
      <w:tabs>
        <w:tab w:val="center" w:pos="4677"/>
        <w:tab w:val="right" w:pos="9355"/>
      </w:tabs>
    </w:pPr>
  </w:style>
  <w:style w:type="character" w:customStyle="1" w:styleId="ae">
    <w:name w:val="Нижний колонтитул Знак"/>
    <w:basedOn w:val="a0"/>
    <w:link w:val="ad"/>
    <w:uiPriority w:val="99"/>
    <w:rsid w:val="00D546F7"/>
    <w:rPr>
      <w:rFonts w:ascii="Times New Roman" w:eastAsia="Times New Roman" w:hAnsi="Times New Roman" w:cs="Arial"/>
      <w:sz w:val="24"/>
      <w:szCs w:val="24"/>
      <w:lang w:eastAsia="ru-RU"/>
    </w:rPr>
  </w:style>
  <w:style w:type="paragraph" w:styleId="af">
    <w:name w:val="Body Text Indent"/>
    <w:basedOn w:val="a"/>
    <w:link w:val="af0"/>
    <w:uiPriority w:val="99"/>
    <w:semiHidden/>
    <w:unhideWhenUsed/>
    <w:rsid w:val="001E6D8E"/>
    <w:pPr>
      <w:spacing w:after="120"/>
      <w:ind w:left="283"/>
    </w:pPr>
  </w:style>
  <w:style w:type="character" w:customStyle="1" w:styleId="af0">
    <w:name w:val="Основной текст с отступом Знак"/>
    <w:basedOn w:val="a0"/>
    <w:link w:val="af"/>
    <w:uiPriority w:val="99"/>
    <w:semiHidden/>
    <w:rsid w:val="001E6D8E"/>
    <w:rPr>
      <w:rFonts w:ascii="Times New Roman" w:eastAsia="Times New Roman" w:hAnsi="Times New Roman" w:cs="Arial"/>
      <w:sz w:val="24"/>
      <w:szCs w:val="24"/>
      <w:lang w:eastAsia="ru-RU"/>
    </w:rPr>
  </w:style>
  <w:style w:type="character" w:styleId="af1">
    <w:name w:val="Hyperlink"/>
    <w:basedOn w:val="a0"/>
    <w:uiPriority w:val="99"/>
    <w:unhideWhenUsed/>
    <w:rsid w:val="001E6D8E"/>
    <w:rPr>
      <w:color w:val="0000FF"/>
      <w:u w:val="single"/>
    </w:rPr>
  </w:style>
  <w:style w:type="paragraph" w:styleId="af2">
    <w:name w:val="Balloon Text"/>
    <w:basedOn w:val="a"/>
    <w:link w:val="af3"/>
    <w:uiPriority w:val="99"/>
    <w:semiHidden/>
    <w:unhideWhenUsed/>
    <w:rsid w:val="001E6D8E"/>
    <w:rPr>
      <w:rFonts w:ascii="Tahoma" w:hAnsi="Tahoma" w:cs="Tahoma"/>
      <w:sz w:val="16"/>
      <w:szCs w:val="16"/>
    </w:rPr>
  </w:style>
  <w:style w:type="character" w:customStyle="1" w:styleId="af3">
    <w:name w:val="Текст выноски Знак"/>
    <w:basedOn w:val="a0"/>
    <w:link w:val="af2"/>
    <w:uiPriority w:val="99"/>
    <w:semiHidden/>
    <w:rsid w:val="001E6D8E"/>
    <w:rPr>
      <w:rFonts w:ascii="Tahoma" w:eastAsia="Times New Roman" w:hAnsi="Tahoma" w:cs="Tahoma"/>
      <w:sz w:val="16"/>
      <w:szCs w:val="16"/>
      <w:lang w:eastAsia="ru-RU"/>
    </w:rPr>
  </w:style>
  <w:style w:type="paragraph" w:styleId="20">
    <w:name w:val="Body Text Indent 2"/>
    <w:basedOn w:val="a"/>
    <w:link w:val="21"/>
    <w:uiPriority w:val="99"/>
    <w:semiHidden/>
    <w:unhideWhenUsed/>
    <w:rsid w:val="00E80A7D"/>
    <w:pPr>
      <w:spacing w:after="120" w:line="480" w:lineRule="auto"/>
      <w:ind w:left="283"/>
    </w:pPr>
  </w:style>
  <w:style w:type="character" w:customStyle="1" w:styleId="21">
    <w:name w:val="Основной текст с отступом 2 Знак"/>
    <w:basedOn w:val="a0"/>
    <w:link w:val="20"/>
    <w:uiPriority w:val="99"/>
    <w:semiHidden/>
    <w:rsid w:val="00E80A7D"/>
    <w:rPr>
      <w:rFonts w:ascii="Times New Roman" w:eastAsia="Times New Roman" w:hAnsi="Times New Roman" w:cs="Arial"/>
      <w:sz w:val="24"/>
      <w:szCs w:val="24"/>
      <w:lang w:eastAsia="ru-RU"/>
    </w:rPr>
  </w:style>
  <w:style w:type="character" w:styleId="af4">
    <w:name w:val="FollowedHyperlink"/>
    <w:basedOn w:val="a0"/>
    <w:uiPriority w:val="99"/>
    <w:semiHidden/>
    <w:unhideWhenUsed/>
    <w:rsid w:val="00FA098C"/>
    <w:rPr>
      <w:color w:val="800080"/>
      <w:u w:val="single"/>
    </w:rPr>
  </w:style>
  <w:style w:type="paragraph" w:customStyle="1" w:styleId="xl65">
    <w:name w:val="xl65"/>
    <w:basedOn w:val="a"/>
    <w:rsid w:val="00FA098C"/>
    <w:pPr>
      <w:spacing w:before="100" w:beforeAutospacing="1" w:after="100" w:afterAutospacing="1"/>
      <w:textAlignment w:val="top"/>
    </w:pPr>
    <w:rPr>
      <w:rFonts w:ascii="Tahoma" w:hAnsi="Tahoma" w:cs="Tahoma"/>
      <w:color w:val="333333"/>
      <w:sz w:val="28"/>
      <w:szCs w:val="28"/>
    </w:rPr>
  </w:style>
  <w:style w:type="paragraph" w:customStyle="1" w:styleId="xl66">
    <w:name w:val="xl6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b/>
      <w:bCs/>
      <w:color w:val="333333"/>
      <w:sz w:val="18"/>
      <w:szCs w:val="18"/>
    </w:rPr>
  </w:style>
  <w:style w:type="paragraph" w:customStyle="1" w:styleId="xl67">
    <w:name w:val="xl6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b/>
      <w:bCs/>
      <w:color w:val="333333"/>
      <w:sz w:val="18"/>
      <w:szCs w:val="18"/>
    </w:rPr>
  </w:style>
  <w:style w:type="paragraph" w:customStyle="1" w:styleId="xl68">
    <w:name w:val="xl68"/>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color w:val="333333"/>
      <w:sz w:val="18"/>
      <w:szCs w:val="18"/>
    </w:rPr>
  </w:style>
  <w:style w:type="paragraph" w:customStyle="1" w:styleId="xl69">
    <w:name w:val="xl69"/>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ahoma" w:hAnsi="Tahoma" w:cs="Tahoma"/>
      <w:color w:val="333333"/>
      <w:sz w:val="18"/>
      <w:szCs w:val="18"/>
    </w:rPr>
  </w:style>
  <w:style w:type="paragraph" w:customStyle="1" w:styleId="xl70">
    <w:name w:val="xl70"/>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1">
    <w:name w:val="xl71"/>
    <w:basedOn w:val="a"/>
    <w:rsid w:val="00FA098C"/>
    <w:pPr>
      <w:pBdr>
        <w:top w:val="single" w:sz="4" w:space="0" w:color="C0C0C0"/>
        <w:left w:val="single" w:sz="4" w:space="22" w:color="C0C0C0"/>
        <w:bottom w:val="single" w:sz="4" w:space="0" w:color="C0C0C0"/>
        <w:right w:val="single" w:sz="4" w:space="0" w:color="C0C0C0"/>
      </w:pBdr>
      <w:spacing w:before="100" w:beforeAutospacing="1" w:after="100" w:afterAutospacing="1"/>
      <w:ind w:firstLineChars="200" w:firstLine="200"/>
      <w:textAlignment w:val="center"/>
    </w:pPr>
    <w:rPr>
      <w:rFonts w:ascii="Tahoma" w:hAnsi="Tahoma" w:cs="Tahoma"/>
      <w:color w:val="333333"/>
      <w:sz w:val="18"/>
      <w:szCs w:val="18"/>
    </w:rPr>
  </w:style>
  <w:style w:type="paragraph" w:customStyle="1" w:styleId="xl72">
    <w:name w:val="xl72"/>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3">
    <w:name w:val="xl73"/>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rFonts w:ascii="Tahoma" w:hAnsi="Tahoma" w:cs="Tahoma"/>
      <w:color w:val="333333"/>
      <w:sz w:val="18"/>
      <w:szCs w:val="18"/>
    </w:rPr>
  </w:style>
  <w:style w:type="paragraph" w:customStyle="1" w:styleId="xl74">
    <w:name w:val="xl74"/>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600" w:firstLine="600"/>
      <w:textAlignment w:val="center"/>
    </w:pPr>
    <w:rPr>
      <w:rFonts w:ascii="Tahoma" w:hAnsi="Tahoma" w:cs="Tahoma"/>
      <w:color w:val="333333"/>
      <w:sz w:val="18"/>
      <w:szCs w:val="18"/>
    </w:rPr>
  </w:style>
  <w:style w:type="paragraph" w:customStyle="1" w:styleId="xl75">
    <w:name w:val="xl75"/>
    <w:basedOn w:val="a"/>
    <w:rsid w:val="00FA098C"/>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800" w:firstLine="800"/>
      <w:textAlignment w:val="center"/>
    </w:pPr>
    <w:rPr>
      <w:rFonts w:ascii="Tahoma" w:hAnsi="Tahoma" w:cs="Tahoma"/>
      <w:color w:val="333333"/>
      <w:sz w:val="18"/>
      <w:szCs w:val="18"/>
    </w:rPr>
  </w:style>
  <w:style w:type="paragraph" w:customStyle="1" w:styleId="xl76">
    <w:name w:val="xl76"/>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 w:type="paragraph" w:customStyle="1" w:styleId="xl77">
    <w:name w:val="xl77"/>
    <w:basedOn w:val="a"/>
    <w:rsid w:val="00FA098C"/>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901">
      <w:bodyDiv w:val="1"/>
      <w:marLeft w:val="0"/>
      <w:marRight w:val="0"/>
      <w:marTop w:val="0"/>
      <w:marBottom w:val="0"/>
      <w:divBdr>
        <w:top w:val="none" w:sz="0" w:space="0" w:color="auto"/>
        <w:left w:val="none" w:sz="0" w:space="0" w:color="auto"/>
        <w:bottom w:val="none" w:sz="0" w:space="0" w:color="auto"/>
        <w:right w:val="none" w:sz="0" w:space="0" w:color="auto"/>
      </w:divBdr>
    </w:div>
    <w:div w:id="98050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A6EE-DDFA-43BE-9BA4-BD8DF107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12057</Words>
  <Characters>68731</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veltsnn</dc:creator>
  <cp:lastModifiedBy>Ирина Осокина</cp:lastModifiedBy>
  <cp:revision>3</cp:revision>
  <cp:lastPrinted>2019-10-25T06:56:00Z</cp:lastPrinted>
  <dcterms:created xsi:type="dcterms:W3CDTF">2019-10-25T07:07:00Z</dcterms:created>
  <dcterms:modified xsi:type="dcterms:W3CDTF">2019-10-25T12:34:00Z</dcterms:modified>
</cp:coreProperties>
</file>