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6E6DD3">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6E6DD3">
      <w:pPr>
        <w:spacing w:after="0" w:line="240" w:lineRule="auto"/>
        <w:ind w:right="-2" w:firstLine="1701"/>
        <w:rPr>
          <w:rFonts w:ascii="Times New Roman" w:eastAsia="Times New Roman" w:hAnsi="Times New Roman" w:cs="Times New Roman"/>
          <w:b/>
          <w:sz w:val="20"/>
          <w:szCs w:val="20"/>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6E6DD3">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6E6DD3">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6E6DD3">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6E6DD3">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6E6DD3">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2E4A26" w:rsidRDefault="008D0345" w:rsidP="007F308E">
      <w:pPr>
        <w:tabs>
          <w:tab w:val="left" w:pos="3675"/>
        </w:tabs>
        <w:spacing w:line="240" w:lineRule="exact"/>
        <w:jc w:val="center"/>
        <w:rPr>
          <w:rFonts w:ascii="Times New Roman" w:hAnsi="Times New Roman" w:cs="Times New Roman"/>
          <w:sz w:val="24"/>
          <w:szCs w:val="24"/>
        </w:rPr>
      </w:pPr>
      <w:bookmarkStart w:id="0" w:name="_GoBack"/>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555696">
        <w:rPr>
          <w:rFonts w:ascii="Times New Roman" w:hAnsi="Times New Roman" w:cs="Times New Roman"/>
          <w:sz w:val="24"/>
          <w:szCs w:val="24"/>
        </w:rPr>
        <w:t>, от 25.08.2021 №669/8</w:t>
      </w:r>
      <w:r w:rsidR="0038628F">
        <w:rPr>
          <w:rFonts w:ascii="Times New Roman" w:hAnsi="Times New Roman" w:cs="Times New Roman"/>
          <w:sz w:val="24"/>
          <w:szCs w:val="24"/>
        </w:rPr>
        <w:t>,</w:t>
      </w:r>
      <w:r w:rsidR="0038628F" w:rsidRPr="0038628F">
        <w:rPr>
          <w:rFonts w:ascii="Times New Roman" w:hAnsi="Times New Roman" w:cs="Times New Roman"/>
          <w:sz w:val="20"/>
          <w:szCs w:val="20"/>
        </w:rPr>
        <w:t xml:space="preserve"> </w:t>
      </w:r>
      <w:r w:rsidR="0038628F" w:rsidRPr="0038628F">
        <w:rPr>
          <w:rFonts w:ascii="Times New Roman" w:hAnsi="Times New Roman" w:cs="Times New Roman"/>
          <w:sz w:val="24"/>
          <w:szCs w:val="24"/>
        </w:rPr>
        <w:t>от 27.08.2021 №678/8</w:t>
      </w:r>
      <w:r w:rsidR="003740FD">
        <w:rPr>
          <w:rFonts w:ascii="Times New Roman" w:hAnsi="Times New Roman" w:cs="Times New Roman"/>
          <w:sz w:val="24"/>
          <w:szCs w:val="24"/>
        </w:rPr>
        <w:t>, от 30.09.2021 №750/9</w:t>
      </w:r>
      <w:r w:rsidR="00AF3429">
        <w:rPr>
          <w:rFonts w:ascii="Times New Roman" w:hAnsi="Times New Roman" w:cs="Times New Roman"/>
          <w:sz w:val="24"/>
          <w:szCs w:val="24"/>
        </w:rPr>
        <w:t>, от 22.10.2021 №789/10</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electrostal</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ru</w:t>
        </w:r>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3B217F" w:rsidRDefault="003B217F" w:rsidP="005D3187">
      <w:pPr>
        <w:spacing w:after="0" w:line="240" w:lineRule="atLeast"/>
        <w:jc w:val="both"/>
        <w:rPr>
          <w:rFonts w:ascii="Times New Roman" w:hAnsi="Times New Roman" w:cs="Times New Roman"/>
        </w:rPr>
      </w:pPr>
    </w:p>
    <w:p w:rsidR="00AF3429" w:rsidRPr="002E4A26" w:rsidRDefault="00AF3429" w:rsidP="005D3187">
      <w:pPr>
        <w:spacing w:after="0" w:line="240" w:lineRule="atLeast"/>
        <w:jc w:val="both"/>
        <w:rPr>
          <w:rFonts w:ascii="Times New Roman" w:hAnsi="Times New Roman" w:cs="Times New Roman"/>
        </w:rPr>
      </w:pPr>
    </w:p>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t xml:space="preserve">от </w:t>
      </w:r>
      <w:r w:rsidR="003D091E" w:rsidRPr="002E4A26">
        <w:rPr>
          <w:rFonts w:ascii="Times New Roman" w:hAnsi="Times New Roman" w:cs="Times New Roman"/>
          <w:sz w:val="24"/>
          <w:szCs w:val="24"/>
        </w:rPr>
        <w:t>___</w:t>
      </w:r>
      <w:r w:rsidR="009A7464">
        <w:rPr>
          <w:rFonts w:ascii="Times New Roman" w:hAnsi="Times New Roman" w:cs="Times New Roman"/>
          <w:sz w:val="24"/>
          <w:szCs w:val="24"/>
        </w:rPr>
        <w:t>____</w:t>
      </w:r>
      <w:r w:rsidR="00A10B22" w:rsidRPr="002E4A26">
        <w:rPr>
          <w:rFonts w:ascii="Times New Roman" w:hAnsi="Times New Roman" w:cs="Times New Roman"/>
          <w:sz w:val="24"/>
          <w:szCs w:val="24"/>
        </w:rPr>
        <w:t>__</w:t>
      </w:r>
      <w:r w:rsidR="003D091E" w:rsidRPr="002E4A26">
        <w:rPr>
          <w:rFonts w:ascii="Times New Roman" w:hAnsi="Times New Roman" w:cs="Times New Roman"/>
          <w:sz w:val="24"/>
          <w:szCs w:val="24"/>
        </w:rPr>
        <w:t>___</w:t>
      </w:r>
      <w:r w:rsidR="00BF4319" w:rsidRPr="002E4A26">
        <w:rPr>
          <w:rFonts w:ascii="Times New Roman" w:hAnsi="Times New Roman" w:cs="Times New Roman"/>
          <w:sz w:val="24"/>
          <w:szCs w:val="24"/>
        </w:rPr>
        <w:t xml:space="preserve"> № </w:t>
      </w:r>
      <w:r w:rsidR="00FF66B4" w:rsidRPr="002E4A26">
        <w:rPr>
          <w:rFonts w:ascii="Times New Roman" w:hAnsi="Times New Roman" w:cs="Times New Roman"/>
          <w:sz w:val="24"/>
          <w:szCs w:val="24"/>
        </w:rPr>
        <w:t>___</w:t>
      </w:r>
      <w:r w:rsidR="00A10B22" w:rsidRPr="002E4A26">
        <w:rPr>
          <w:rFonts w:ascii="Times New Roman" w:hAnsi="Times New Roman" w:cs="Times New Roman"/>
          <w:sz w:val="24"/>
          <w:szCs w:val="24"/>
        </w:rPr>
        <w:t>____</w:t>
      </w:r>
      <w:r w:rsidR="00FF66B4" w:rsidRPr="002E4A26">
        <w:rPr>
          <w:rFonts w:ascii="Times New Roman" w:hAnsi="Times New Roman" w:cs="Times New Roman"/>
          <w:sz w:val="24"/>
          <w:szCs w:val="24"/>
        </w:rPr>
        <w:t>__</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00555696">
        <w:rPr>
          <w:rFonts w:ascii="Times New Roman" w:hAnsi="Times New Roman" w:cs="Times New Roman"/>
          <w:sz w:val="20"/>
          <w:szCs w:val="20"/>
        </w:rPr>
        <w:t>, от 25.08.2021 №669/8</w:t>
      </w:r>
      <w:r w:rsidR="0038628F">
        <w:rPr>
          <w:rFonts w:ascii="Times New Roman" w:hAnsi="Times New Roman" w:cs="Times New Roman"/>
          <w:sz w:val="20"/>
          <w:szCs w:val="20"/>
        </w:rPr>
        <w:t>, от 27.08.2021 №678/8</w:t>
      </w:r>
      <w:r w:rsidR="00610D99">
        <w:rPr>
          <w:rFonts w:ascii="Times New Roman" w:hAnsi="Times New Roman" w:cs="Times New Roman"/>
          <w:sz w:val="20"/>
          <w:szCs w:val="20"/>
        </w:rPr>
        <w:t>,</w:t>
      </w:r>
      <w:r w:rsidR="003740FD" w:rsidRPr="003740FD">
        <w:rPr>
          <w:rFonts w:ascii="Times New Roman" w:hAnsi="Times New Roman" w:cs="Times New Roman"/>
          <w:sz w:val="24"/>
          <w:szCs w:val="24"/>
        </w:rPr>
        <w:t xml:space="preserve"> </w:t>
      </w:r>
      <w:r w:rsidR="003740FD" w:rsidRPr="003740FD">
        <w:rPr>
          <w:rFonts w:ascii="Times New Roman" w:hAnsi="Times New Roman" w:cs="Times New Roman"/>
          <w:sz w:val="20"/>
          <w:szCs w:val="20"/>
        </w:rPr>
        <w:t>от 30.09.2021 №750/9</w:t>
      </w:r>
      <w:r w:rsidR="00AF3429">
        <w:rPr>
          <w:rFonts w:ascii="Times New Roman" w:hAnsi="Times New Roman" w:cs="Times New Roman"/>
          <w:sz w:val="20"/>
          <w:szCs w:val="20"/>
        </w:rPr>
        <w:t>, от</w:t>
      </w:r>
      <w:r w:rsidR="00610D99">
        <w:rPr>
          <w:rFonts w:ascii="Times New Roman" w:hAnsi="Times New Roman" w:cs="Times New Roman"/>
          <w:sz w:val="20"/>
          <w:szCs w:val="20"/>
        </w:rPr>
        <w:t xml:space="preserve"> </w:t>
      </w:r>
      <w:r w:rsidR="00AF3429">
        <w:rPr>
          <w:rFonts w:ascii="Times New Roman" w:hAnsi="Times New Roman" w:cs="Times New Roman"/>
          <w:sz w:val="20"/>
          <w:szCs w:val="20"/>
        </w:rPr>
        <w:t xml:space="preserve"> 22.10.2021 №789/10</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AF3429">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AF3429">
              <w:rPr>
                <w:rFonts w:ascii="Times New Roman" w:eastAsia="Times New Roman" w:hAnsi="Times New Roman" w:cs="Times New Roman"/>
                <w:sz w:val="20"/>
                <w:szCs w:val="20"/>
              </w:rPr>
              <w:t> 608 096,96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7248E" w:rsidP="00FB28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417 873,16</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362 457,34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218 340,33</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B724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B7248E">
              <w:rPr>
                <w:rFonts w:ascii="Times New Roman" w:eastAsia="Times New Roman" w:hAnsi="Times New Roman" w:cs="Times New Roman"/>
                <w:sz w:val="20"/>
                <w:szCs w:val="20"/>
              </w:rPr>
              <w:t> 146 238,18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724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724 713,08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B288E" w:rsidP="00B724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B7248E">
              <w:rPr>
                <w:rFonts w:ascii="Times New Roman" w:eastAsia="Times New Roman" w:hAnsi="Times New Roman" w:cs="Times New Roman"/>
                <w:sz w:val="20"/>
                <w:szCs w:val="20"/>
              </w:rPr>
              <w:t> 016,06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B724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B7248E">
              <w:rPr>
                <w:rFonts w:ascii="Times New Roman" w:eastAsia="Times New Roman" w:hAnsi="Times New Roman" w:cs="Times New Roman"/>
                <w:sz w:val="20"/>
                <w:szCs w:val="20"/>
              </w:rPr>
              <w:t> 284,90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B7248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95 600,59</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B7248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74 632,30</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B724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B7248E">
              <w:rPr>
                <w:rFonts w:ascii="Times New Roman" w:eastAsia="Times New Roman" w:hAnsi="Times New Roman" w:cs="Times New Roman"/>
                <w:sz w:val="20"/>
                <w:szCs w:val="20"/>
              </w:rPr>
              <w:t> </w:t>
            </w:r>
            <w:r w:rsidR="00540C5B">
              <w:rPr>
                <w:rFonts w:ascii="Times New Roman" w:eastAsia="Times New Roman" w:hAnsi="Times New Roman" w:cs="Times New Roman"/>
                <w:sz w:val="20"/>
                <w:szCs w:val="20"/>
              </w:rPr>
              <w:t>5</w:t>
            </w:r>
            <w:r w:rsidR="00B7248E">
              <w:rPr>
                <w:rFonts w:ascii="Times New Roman" w:eastAsia="Times New Roman" w:hAnsi="Times New Roman" w:cs="Times New Roman"/>
                <w:sz w:val="20"/>
                <w:szCs w:val="20"/>
              </w:rPr>
              <w:t>89 080,90</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B724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406 588,26</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335 621,81</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192 792,93</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B724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B7248E">
              <w:rPr>
                <w:rFonts w:ascii="Times New Roman" w:eastAsia="Times New Roman" w:hAnsi="Times New Roman" w:cs="Times New Roman"/>
                <w:sz w:val="20"/>
                <w:szCs w:val="20"/>
              </w:rPr>
              <w:t> 050 637,59</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B724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650 080,78</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3D44A7">
          <w:type w:val="continuous"/>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мкр.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№пп</w:t>
            </w:r>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ул. Советская от Фрязевского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велокоммуникаций (велопешеходных,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велопарковок;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36"/>
        <w:gridCol w:w="1522"/>
        <w:gridCol w:w="2272"/>
        <w:gridCol w:w="2091"/>
        <w:gridCol w:w="2091"/>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"Догпоинт"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Фрязевское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"Центротраст"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C54F7D" w:rsidP="007A0617">
            <w:pPr>
              <w:spacing w:after="0" w:line="240" w:lineRule="auto"/>
              <w:rPr>
                <w:rFonts w:ascii="Times New Roman" w:hAnsi="Times New Roman" w:cs="Times New Roman"/>
                <w:sz w:val="17"/>
                <w:szCs w:val="17"/>
              </w:rPr>
            </w:pPr>
            <w:r>
              <w:rPr>
                <w:rFonts w:ascii="Times New Roman" w:hAnsi="Times New Roman" w:cs="Times New Roman"/>
                <w:sz w:val="17"/>
                <w:szCs w:val="17"/>
              </w:rPr>
              <w:t>1</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Dn = Ny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Ny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Фо / Нп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Нп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Фо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 / Кп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кв.м</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Досв=Посв/Побщ*100%,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C924FC" w:rsidRPr="00F9461D" w:rsidRDefault="00C924FC" w:rsidP="00C924FC">
            <w:pPr>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Побщ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243CEA"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889 667,86</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243CEA"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406 286,48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243CEA" w:rsidP="00E93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428 111,17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243CEA"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162 793,96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243CE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8 425,33</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243CEA"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2 632,30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243CEA"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8 425,23</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243CEA">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r>
            <w:r w:rsidR="00243CEA">
              <w:rPr>
                <w:rFonts w:ascii="Times New Roman" w:eastAsia="Times New Roman" w:hAnsi="Times New Roman" w:cs="Times New Roman"/>
                <w:sz w:val="18"/>
                <w:szCs w:val="18"/>
              </w:rPr>
              <w:t>2 632,30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243CEA"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881 242,53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243CEA"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403 654,18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КСДДиБ</w:t>
            </w:r>
          </w:p>
        </w:tc>
      </w:tr>
      <w:tr w:rsidR="00441D66" w:rsidRPr="002E4A26" w:rsidTr="00FB288E">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243CEA" w:rsidP="00DE33E2">
            <w:pPr>
              <w:jc w:val="center"/>
              <w:rPr>
                <w:rFonts w:ascii="Times New Roman" w:hAnsi="Times New Roman" w:cs="Times New Roman"/>
                <w:sz w:val="18"/>
                <w:szCs w:val="18"/>
              </w:rPr>
            </w:pPr>
            <w:r>
              <w:rPr>
                <w:rFonts w:ascii="Times New Roman" w:hAnsi="Times New Roman" w:cs="Times New Roman"/>
                <w:sz w:val="18"/>
                <w:szCs w:val="18"/>
              </w:rPr>
              <w:t>419 685,84</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243CEA" w:rsidP="001D4218">
            <w:pPr>
              <w:jc w:val="center"/>
              <w:rPr>
                <w:rFonts w:ascii="Times New Roman" w:hAnsi="Times New Roman" w:cs="Times New Roman"/>
                <w:sz w:val="18"/>
                <w:szCs w:val="18"/>
              </w:rPr>
            </w:pPr>
            <w:r>
              <w:rPr>
                <w:rFonts w:ascii="Times New Roman" w:hAnsi="Times New Roman" w:cs="Times New Roman"/>
                <w:sz w:val="18"/>
                <w:szCs w:val="18"/>
              </w:rPr>
              <w:t>160 161,66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5753F">
            <w:pPr>
              <w:jc w:val="center"/>
              <w:rPr>
                <w:rFonts w:ascii="Times New Roman" w:hAnsi="Times New Roman" w:cs="Times New Roman"/>
                <w:sz w:val="18"/>
                <w:szCs w:val="18"/>
              </w:rPr>
            </w:pPr>
            <w:r>
              <w:rPr>
                <w:rFonts w:ascii="Times New Roman" w:hAnsi="Times New Roman" w:cs="Times New Roman"/>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1C76E1">
      <w:pPr>
        <w:spacing w:after="0" w:line="240" w:lineRule="auto"/>
        <w:ind w:firstLine="540"/>
        <w:jc w:val="both"/>
        <w:rPr>
          <w:rFonts w:ascii="Times New Roman" w:eastAsia="Calibri"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47E48" w:rsidRDefault="00953237" w:rsidP="00847E48">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ab/>
      </w:r>
      <w:r w:rsidR="00847E48" w:rsidRPr="002E4A26">
        <w:rPr>
          <w:rFonts w:ascii="Times New Roman" w:hAnsi="Times New Roman" w:cs="Times New Roman"/>
          <w:bCs/>
          <w:sz w:val="24"/>
          <w:szCs w:val="24"/>
        </w:rPr>
        <w:t>В рамках подпрограммы в 2021 году планируется ремонт/создание пешеходных коммуникаций (т.н. «народные тропы»).</w:t>
      </w:r>
    </w:p>
    <w:p w:rsidR="00847E48" w:rsidRPr="00447D60" w:rsidRDefault="00847E48" w:rsidP="00847E48">
      <w:pPr>
        <w:spacing w:after="0" w:line="240" w:lineRule="auto"/>
        <w:jc w:val="both"/>
        <w:rPr>
          <w:rFonts w:ascii="Times New Roman" w:eastAsia="Calibri" w:hAnsi="Times New Roman"/>
          <w:sz w:val="24"/>
          <w:szCs w:val="24"/>
        </w:rPr>
      </w:pPr>
    </w:p>
    <w:p w:rsidR="00847E48" w:rsidRPr="002D6973" w:rsidRDefault="00847E48" w:rsidP="00847E48">
      <w:pPr>
        <w:pStyle w:val="ConsPlusNormal"/>
        <w:ind w:firstLine="709"/>
        <w:jc w:val="center"/>
        <w:rPr>
          <w:rFonts w:ascii="Times New Roman" w:hAnsi="Times New Roman" w:cs="Times New Roman"/>
          <w:b/>
          <w:sz w:val="24"/>
          <w:szCs w:val="24"/>
        </w:rPr>
      </w:pPr>
      <w:r w:rsidRPr="002D6973">
        <w:rPr>
          <w:rFonts w:ascii="Times New Roman" w:hAnsi="Times New Roman" w:cs="Times New Roman"/>
          <w:b/>
          <w:sz w:val="24"/>
          <w:szCs w:val="24"/>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2D6973">
        <w:rPr>
          <w:rFonts w:ascii="Times New Roman" w:hAnsi="Times New Roman" w:cs="Times New Roman"/>
          <w:b/>
          <w:bCs/>
          <w:sz w:val="24"/>
          <w:szCs w:val="24"/>
        </w:rPr>
        <w:t xml:space="preserve"> региональными требованиями</w:t>
      </w:r>
    </w:p>
    <w:p w:rsidR="00847E48" w:rsidRPr="002E4A26" w:rsidRDefault="00847E48" w:rsidP="00847E4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(показатель</w:t>
      </w:r>
      <w:r w:rsidRPr="002D6973">
        <w:rPr>
          <w:rFonts w:ascii="Times New Roman" w:hAnsi="Times New Roman" w:cs="Times New Roman"/>
          <w:b/>
          <w:sz w:val="24"/>
          <w:szCs w:val="24"/>
        </w:rPr>
        <w:t xml:space="preserve"> №35 «Соответствие внешнего вида ограждений региональным требованиям» Рейтинга-45</w:t>
      </w:r>
      <w:r>
        <w:rPr>
          <w:rFonts w:ascii="Times New Roman" w:hAnsi="Times New Roman" w:cs="Times New Roman"/>
          <w:b/>
          <w:sz w:val="24"/>
          <w:szCs w:val="24"/>
        </w:rPr>
        <w:t>)</w:t>
      </w:r>
    </w:p>
    <w:tbl>
      <w:tblPr>
        <w:tblStyle w:val="a8"/>
        <w:tblW w:w="12136" w:type="dxa"/>
        <w:jc w:val="center"/>
        <w:tblLook w:val="04A0" w:firstRow="1" w:lastRow="0" w:firstColumn="1" w:lastColumn="0" w:noHBand="0" w:noVBand="1"/>
      </w:tblPr>
      <w:tblGrid>
        <w:gridCol w:w="563"/>
        <w:gridCol w:w="9446"/>
        <w:gridCol w:w="2127"/>
      </w:tblGrid>
      <w:tr w:rsidR="00847E48" w:rsidRPr="002E4A26" w:rsidTr="008B1B6D">
        <w:trPr>
          <w:jc w:val="center"/>
        </w:trPr>
        <w:tc>
          <w:tcPr>
            <w:tcW w:w="563" w:type="dxa"/>
          </w:tcPr>
          <w:p w:rsidR="00847E48" w:rsidRPr="002E4A26" w:rsidRDefault="00847E48" w:rsidP="008B1B6D">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9446" w:type="dxa"/>
          </w:tcPr>
          <w:p w:rsidR="00847E48" w:rsidRPr="002E4A26" w:rsidRDefault="00847E48" w:rsidP="008B1B6D">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адрес объекта (наименование объекта)</w:t>
            </w:r>
          </w:p>
        </w:tc>
        <w:tc>
          <w:tcPr>
            <w:tcW w:w="2127" w:type="dxa"/>
            <w:vAlign w:val="center"/>
          </w:tcPr>
          <w:p w:rsidR="00847E48" w:rsidRPr="002E4A26" w:rsidRDefault="00847E48" w:rsidP="008B1B6D">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847E48" w:rsidRPr="002E4A26" w:rsidTr="008B1B6D">
        <w:trPr>
          <w:jc w:val="center"/>
        </w:trPr>
        <w:tc>
          <w:tcPr>
            <w:tcW w:w="563" w:type="dxa"/>
            <w:vAlign w:val="center"/>
          </w:tcPr>
          <w:p w:rsidR="00847E48" w:rsidRPr="002E4A26"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2E4A26" w:rsidRDefault="00847E48" w:rsidP="008B1B6D">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bCs/>
                <w:sz w:val="24"/>
                <w:szCs w:val="24"/>
              </w:rPr>
              <w:t>г.Электросталь, ул.</w:t>
            </w:r>
            <w:r w:rsidRPr="002E4A26">
              <w:rPr>
                <w:rFonts w:ascii="Times New Roman" w:hAnsi="Times New Roman" w:cs="Times New Roman"/>
                <w:bCs/>
                <w:sz w:val="24"/>
                <w:szCs w:val="24"/>
              </w:rPr>
              <w:t xml:space="preserve"> Корешкова (от ул. Николаева до ул. Красная)</w:t>
            </w:r>
          </w:p>
        </w:tc>
        <w:tc>
          <w:tcPr>
            <w:tcW w:w="2127" w:type="dxa"/>
          </w:tcPr>
          <w:p w:rsidR="00847E48" w:rsidRPr="002E4A26" w:rsidRDefault="00847E48" w:rsidP="008B1B6D">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r>
      <w:tr w:rsidR="00847E48" w:rsidRPr="002E4A26" w:rsidTr="008B1B6D">
        <w:trPr>
          <w:jc w:val="center"/>
        </w:trPr>
        <w:tc>
          <w:tcPr>
            <w:tcW w:w="563" w:type="dxa"/>
            <w:vAlign w:val="center"/>
          </w:tcPr>
          <w:p w:rsidR="00847E48" w:rsidRPr="002E4A26"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2E4A26" w:rsidRDefault="00847E48" w:rsidP="008B1B6D">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bCs/>
                <w:sz w:val="24"/>
                <w:szCs w:val="24"/>
              </w:rPr>
              <w:t>г.Электросталь, проспект Ленина (от ул.Корешкова до пр.Чернышевского)</w:t>
            </w:r>
          </w:p>
        </w:tc>
        <w:tc>
          <w:tcPr>
            <w:tcW w:w="2127" w:type="dxa"/>
          </w:tcPr>
          <w:p w:rsidR="00847E48" w:rsidRPr="002E4A26" w:rsidRDefault="00847E48" w:rsidP="008B1B6D">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bl>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8312DC" w:rsidRDefault="00EC66AD" w:rsidP="005C6B59">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p w:rsidR="00F14ACA" w:rsidRPr="005C591D" w:rsidRDefault="00F14ACA" w:rsidP="005C6B59">
            <w:pPr>
              <w:spacing w:after="0" w:line="240" w:lineRule="auto"/>
              <w:jc w:val="center"/>
              <w:rPr>
                <w:rFonts w:ascii="Times New Roman" w:eastAsia="Times New Roman" w:hAnsi="Times New Roman" w:cs="Times New Roman"/>
                <w:bCs/>
                <w:sz w:val="18"/>
                <w:szCs w:val="18"/>
                <w:u w:val="single"/>
              </w:rPr>
            </w:pP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ния меро</w:t>
            </w:r>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(тыс.руб.)</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r w:rsidRPr="005C591D">
              <w:rPr>
                <w:rFonts w:ascii="Times New Roman" w:eastAsia="Times New Roman" w:hAnsi="Times New Roman" w:cs="Times New Roman"/>
                <w:sz w:val="18"/>
                <w:szCs w:val="18"/>
              </w:rPr>
              <w:t>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243CEA"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441 341,35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243CEA"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131 442,03</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w:t>
            </w:r>
            <w:r w:rsidR="00A12F11" w:rsidRPr="005C591D">
              <w:rPr>
                <w:rFonts w:ascii="Times New Roman" w:eastAsia="Times New Roman" w:hAnsi="Times New Roman" w:cs="Times New Roman"/>
                <w:bCs/>
                <w:sz w:val="18"/>
                <w:szCs w:val="18"/>
              </w:rPr>
              <w:t xml:space="preserve">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МБУ"Благоустройство",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243CEA" w:rsidP="00DE33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331 257,60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243CEA"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101 358,28</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r w:rsidR="00A12F11" w:rsidRPr="005C591D">
              <w:rPr>
                <w:rFonts w:ascii="Times New Roman" w:eastAsia="Times New Roman" w:hAnsi="Times New Roman" w:cs="Times New Roman"/>
                <w:sz w:val="18"/>
                <w:szCs w:val="18"/>
              </w:rPr>
              <w:t>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КСДДиБ,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Информацион-ные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243CEA" w:rsidP="001B1C5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8 425,33</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243CEA"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2 632,30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3237">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8 425,33</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2 632,30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EC66AD">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за счет местного бюджета</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4D3C79">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4D3C79">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Доп работы</w:t>
            </w: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3237">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BA13D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Комплексное благоуст ройство дворовых территорий</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243CEA" w:rsidRPr="005C591D" w:rsidRDefault="00243CEA"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Default="00243CEA"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243CE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243CEA" w:rsidRPr="005C591D" w:rsidRDefault="00243CE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B288E">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243CE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B288E">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448 326,51</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274 844,45</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p>
          <w:p w:rsidR="00243CEA" w:rsidRPr="005C591D" w:rsidRDefault="00243CE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96 853,57</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61 435,68</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225 538,06</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162 709,18</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p w:rsidR="00243CEA" w:rsidRDefault="00243CEA" w:rsidP="003D283F">
            <w:pPr>
              <w:spacing w:after="0" w:line="240" w:lineRule="auto"/>
              <w:jc w:val="center"/>
              <w:outlineLvl w:val="0"/>
              <w:rPr>
                <w:rFonts w:ascii="Times New Roman" w:eastAsia="Times New Roman" w:hAnsi="Times New Roman" w:cs="Times New Roman"/>
                <w:sz w:val="18"/>
                <w:szCs w:val="18"/>
              </w:rPr>
            </w:pPr>
          </w:p>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317E6">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FF2717">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16 991,83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right w:val="single" w:sz="4" w:space="0" w:color="auto"/>
            </w:tcBorders>
            <w:shd w:val="clear" w:color="auto" w:fill="auto"/>
            <w:hideMark/>
          </w:tcPr>
          <w:p w:rsidR="00243CEA" w:rsidRPr="005C591D" w:rsidRDefault="00243CEA" w:rsidP="00FA57C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w:t>
            </w:r>
          </w:p>
        </w:tc>
      </w:tr>
      <w:tr w:rsidR="00243CEA" w:rsidRPr="005C591D" w:rsidTr="00B317E6">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4 298,94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317E6">
        <w:trPr>
          <w:trHeight w:val="20"/>
        </w:trPr>
        <w:tc>
          <w:tcPr>
            <w:tcW w:w="469"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12 692,89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317E6">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116 805,00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МБУ Благоустройство,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E630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39 734,20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29 551,68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87 253,32</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F9505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243CEA" w:rsidRPr="005C591D" w:rsidRDefault="00243CE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243CEA" w:rsidRPr="005C591D" w:rsidRDefault="00243CEA"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243CEA" w:rsidRPr="005C591D" w:rsidRDefault="00243CE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F9505B">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2B3B7E" w:rsidRDefault="00243CEA"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243CEA" w:rsidRPr="005C591D" w:rsidRDefault="00243CEA"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243CEA" w:rsidRPr="005C591D" w:rsidRDefault="00243CEA"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7</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AA3ADE">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43CEA" w:rsidRPr="005C591D" w:rsidRDefault="00243CEA"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8</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в парках</w:t>
            </w: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FF2717">
            <w:pPr>
              <w:spacing w:after="0" w:line="240" w:lineRule="auto"/>
              <w:ind w:right="-4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3CEA" w:rsidRPr="005C591D" w:rsidRDefault="00243CEA" w:rsidP="004B36A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3CEA" w:rsidRPr="005C591D" w:rsidRDefault="00243CEA"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17 219,68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243CEA" w:rsidRPr="005C591D" w:rsidRDefault="00243CEA"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243CEA" w:rsidRPr="005C591D" w:rsidRDefault="00243CEA"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архитектурно-художест венного освещения</w:t>
            </w:r>
          </w:p>
        </w:tc>
      </w:tr>
      <w:tr w:rsidR="00243CE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4 356,58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12 863,10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243CEA" w:rsidRPr="005C591D" w:rsidRDefault="00243CEA"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243CEA" w:rsidRPr="005C591D" w:rsidRDefault="00243CEA"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243CEA" w:rsidRPr="005C591D" w:rsidRDefault="00243CEA"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43CEA" w:rsidRPr="005C591D" w:rsidRDefault="00243CEA" w:rsidP="003D08D8">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889 667,86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406 286,48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BC5EF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428 111,17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9845EB" w:rsidP="00FB288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162 793,96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r w:rsidR="00243CEA"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243CEA" w:rsidRPr="005C591D" w:rsidRDefault="00243CE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43CEA" w:rsidRPr="005C591D" w:rsidRDefault="00243CE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243CEA" w:rsidRPr="005C591D" w:rsidRDefault="00243CE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243CEA" w:rsidRPr="005C591D" w:rsidRDefault="00243CEA"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9845EB">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9845EB">
              <w:rPr>
                <w:rFonts w:ascii="Times New Roman" w:hAnsi="Times New Roman" w:cs="Times New Roman"/>
                <w:b/>
                <w:sz w:val="18"/>
                <w:szCs w:val="18"/>
              </w:rPr>
              <w:t> 171 009,14</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9845EB"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246 426,60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F109D"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9845EB">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1</w:t>
            </w:r>
            <w:r w:rsidR="009845EB">
              <w:rPr>
                <w:rFonts w:ascii="Times New Roman" w:hAnsi="Times New Roman" w:cs="Times New Roman"/>
                <w:sz w:val="18"/>
                <w:szCs w:val="18"/>
              </w:rPr>
              <w:t> </w:t>
            </w:r>
            <w:r w:rsidR="00E6304E">
              <w:rPr>
                <w:rFonts w:ascii="Times New Roman" w:hAnsi="Times New Roman" w:cs="Times New Roman"/>
                <w:sz w:val="18"/>
                <w:szCs w:val="18"/>
              </w:rPr>
              <w:t>1</w:t>
            </w:r>
            <w:r w:rsidR="009845EB">
              <w:rPr>
                <w:rFonts w:ascii="Times New Roman" w:hAnsi="Times New Roman" w:cs="Times New Roman"/>
                <w:sz w:val="18"/>
                <w:szCs w:val="18"/>
              </w:rPr>
              <w:t>71 009,14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9845EB"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246 426,60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9845EB">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9845EB">
              <w:rPr>
                <w:rFonts w:ascii="Times New Roman" w:hAnsi="Times New Roman" w:cs="Times New Roman"/>
                <w:b/>
                <w:sz w:val="18"/>
                <w:szCs w:val="18"/>
              </w:rPr>
              <w:t> 169 395,06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C17E49" w:rsidRDefault="009845EB"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246 426,60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КСДДиБ</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E6304E" w:rsidP="009845E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9845EB">
              <w:rPr>
                <w:rFonts w:ascii="Times New Roman" w:hAnsi="Times New Roman" w:cs="Times New Roman"/>
                <w:sz w:val="18"/>
                <w:szCs w:val="18"/>
              </w:rPr>
              <w:t> 169 395,06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9845EB"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246 426,60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953237"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приобретение, </w:t>
      </w:r>
      <w:r w:rsidR="00A4707E" w:rsidRPr="002E4A26">
        <w:rPr>
          <w:rFonts w:ascii="Times New Roman" w:hAnsi="Times New Roman" w:cs="Times New Roman"/>
          <w:bCs/>
          <w:sz w:val="24"/>
          <w:szCs w:val="24"/>
        </w:rPr>
        <w:t xml:space="preserve">установка </w:t>
      </w:r>
      <w:r>
        <w:rPr>
          <w:rFonts w:ascii="Times New Roman" w:hAnsi="Times New Roman" w:cs="Times New Roman"/>
          <w:bCs/>
          <w:sz w:val="24"/>
          <w:szCs w:val="24"/>
        </w:rPr>
        <w:t xml:space="preserve">и ремонт </w:t>
      </w:r>
      <w:r w:rsidR="00A4707E" w:rsidRPr="002E4A26">
        <w:rPr>
          <w:rFonts w:ascii="Times New Roman" w:hAnsi="Times New Roman" w:cs="Times New Roman"/>
          <w:bCs/>
          <w:sz w:val="24"/>
          <w:szCs w:val="24"/>
        </w:rPr>
        <w:t>детских игровых площадок.</w:t>
      </w:r>
    </w:p>
    <w:p w:rsidR="0027437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2E4A26"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AE4611"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9845EB">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sidR="00E6304E">
              <w:rPr>
                <w:rFonts w:ascii="Times New Roman" w:hAnsi="Times New Roman" w:cs="Times New Roman"/>
                <w:sz w:val="16"/>
                <w:szCs w:val="16"/>
              </w:rPr>
              <w:t> </w:t>
            </w:r>
            <w:r w:rsidR="00DE33E2">
              <w:rPr>
                <w:rFonts w:ascii="Times New Roman" w:hAnsi="Times New Roman" w:cs="Times New Roman"/>
                <w:sz w:val="16"/>
                <w:szCs w:val="16"/>
              </w:rPr>
              <w:t xml:space="preserve"> </w:t>
            </w:r>
            <w:r w:rsidR="009845EB">
              <w:rPr>
                <w:rFonts w:ascii="Times New Roman" w:hAnsi="Times New Roman" w:cs="Times New Roman"/>
                <w:sz w:val="16"/>
                <w:szCs w:val="16"/>
              </w:rPr>
              <w:t>171 009,14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9845EB" w:rsidP="00AE4611">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171 009,14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9F73EE" w:rsidRDefault="009845EB"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9845EB" w:rsidRPr="002E4A26" w:rsidRDefault="009845EB" w:rsidP="00E04E1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табличек комплектующих для ДИП, народные тропы, содержание. Степаново</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AF342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AF342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AF342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9056BD">
            <w:pPr>
              <w:spacing w:after="0" w:line="240" w:lineRule="auto"/>
              <w:rPr>
                <w:rFonts w:ascii="Times New Roman" w:eastAsia="Times New Roman" w:hAnsi="Times New Roman" w:cs="Times New Roman"/>
                <w:sz w:val="16"/>
                <w:szCs w:val="16"/>
              </w:rPr>
            </w:pPr>
          </w:p>
        </w:tc>
      </w:tr>
      <w:tr w:rsidR="009845EB"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Pr>
                <w:rFonts w:ascii="Times New Roman" w:hAnsi="Times New Roman" w:cs="Times New Roman"/>
                <w:sz w:val="16"/>
                <w:szCs w:val="16"/>
              </w:rPr>
              <w:t>964 899,83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E4119D">
            <w:pPr>
              <w:jc w:val="center"/>
              <w:rPr>
                <w:rFonts w:ascii="Times New Roman" w:hAnsi="Times New Roman" w:cs="Times New Roman"/>
                <w:sz w:val="16"/>
                <w:szCs w:val="16"/>
              </w:rPr>
            </w:pPr>
            <w:r>
              <w:rPr>
                <w:rFonts w:ascii="Times New Roman" w:hAnsi="Times New Roman" w:cs="Times New Roman"/>
                <w:sz w:val="16"/>
                <w:szCs w:val="16"/>
              </w:rPr>
              <w:t>186 324,89</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953237">
            <w:pPr>
              <w:jc w:val="center"/>
              <w:rPr>
                <w:rFonts w:ascii="Times New Roman" w:hAnsi="Times New Roman" w:cs="Times New Roman"/>
                <w:sz w:val="16"/>
                <w:szCs w:val="16"/>
              </w:rPr>
            </w:pPr>
            <w:r>
              <w:rPr>
                <w:rFonts w:ascii="Times New Roman" w:hAnsi="Times New Roman" w:cs="Times New Roman"/>
                <w:sz w:val="16"/>
                <w:szCs w:val="16"/>
              </w:rPr>
              <w:t>964 899,83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953237">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953237">
            <w:pPr>
              <w:jc w:val="center"/>
              <w:rPr>
                <w:rFonts w:ascii="Times New Roman" w:hAnsi="Times New Roman" w:cs="Times New Roman"/>
                <w:sz w:val="16"/>
                <w:szCs w:val="16"/>
              </w:rPr>
            </w:pPr>
            <w:r>
              <w:rPr>
                <w:rFonts w:ascii="Times New Roman" w:hAnsi="Times New Roman" w:cs="Times New Roman"/>
                <w:sz w:val="16"/>
                <w:szCs w:val="16"/>
              </w:rPr>
              <w:t>186 324,89</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BA13DF">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845EB" w:rsidRPr="002E4A26" w:rsidRDefault="009845EB"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E4119D">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FB288E">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BA13D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204 958,21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4B5C54">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18 572,405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53237">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204 958,21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53237">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953237">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18 572,405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845EB" w:rsidRPr="002E4A26" w:rsidRDefault="009845EB"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845EB" w:rsidRPr="002E4A26" w:rsidRDefault="009845EB"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846539">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845EB">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171 009,14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AF3429">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AF3429">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9845EB"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171 009,14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AE4611" w:rsidRDefault="009845EB" w:rsidP="00953237">
            <w:pPr>
              <w:spacing w:after="0" w:line="240" w:lineRule="auto"/>
              <w:rPr>
                <w:rFonts w:ascii="Times New Roman" w:hAnsi="Times New Roman" w:cs="Times New Roman"/>
                <w:sz w:val="16"/>
                <w:szCs w:val="16"/>
              </w:rPr>
            </w:pPr>
            <w:r>
              <w:rPr>
                <w:rFonts w:ascii="Times New Roman" w:hAnsi="Times New Roman" w:cs="Times New Roman"/>
                <w:sz w:val="16"/>
                <w:szCs w:val="16"/>
              </w:rPr>
              <w:t>246 426,60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9F73EE" w:rsidRDefault="009845EB"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r>
      <w:tr w:rsidR="009845EB"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9845EB" w:rsidRPr="002E4A26" w:rsidRDefault="009845EB"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2E4A26" w:rsidRDefault="009845EB"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9845EB" w:rsidRPr="002E4A26" w:rsidRDefault="009845EB"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Сроки исполнения меро</w:t>
            </w:r>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ный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4B5C54">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4B5C54">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4B5C54">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4B5C54">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Дезин фекция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w:t>
      </w:r>
      <w:r w:rsidR="00527857">
        <w:rPr>
          <w:rFonts w:ascii="Times New Roman" w:hAnsi="Times New Roman" w:cs="Times New Roman"/>
          <w:b/>
          <w:sz w:val="18"/>
          <w:szCs w:val="18"/>
        </w:rPr>
        <w:t>.</w:t>
      </w:r>
      <w:r w:rsidRPr="004A5641">
        <w:rPr>
          <w:rFonts w:ascii="Times New Roman" w:hAnsi="Times New Roman" w:cs="Times New Roman"/>
          <w:b/>
          <w:sz w:val="18"/>
          <w:szCs w:val="18"/>
        </w:rPr>
        <w:t xml:space="preserve">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BD7D3E" w:rsidRPr="002E4A26" w:rsidTr="004B5C54">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4B5C54">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4B5C54">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4B5C54">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4B5C54">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4B5C54">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8F2C11" w:rsidRDefault="008F2C11" w:rsidP="004B5C54">
      <w:pPr>
        <w:spacing w:after="0" w:line="240" w:lineRule="auto"/>
        <w:jc w:val="center"/>
        <w:rPr>
          <w:rFonts w:ascii="Times New Roman CYR" w:hAnsi="Times New Roman CYR" w:cs="Times New Roman CYR"/>
          <w:b/>
          <w:bCs/>
          <w:sz w:val="18"/>
          <w:szCs w:val="18"/>
        </w:rPr>
      </w:pPr>
    </w:p>
    <w:p w:rsidR="004B5C54" w:rsidRPr="004A5641" w:rsidRDefault="004B5C54" w:rsidP="004B5C54">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1.1. </w:t>
      </w:r>
      <w:r w:rsidRPr="002E4A26">
        <w:rPr>
          <w:rFonts w:ascii="Times New Roman CYR" w:hAnsi="Times New Roman CYR" w:cs="Times New Roman CYR"/>
          <w:b/>
          <w:bCs/>
          <w:sz w:val="18"/>
          <w:szCs w:val="18"/>
        </w:rPr>
        <w:t>Адресные перечни объектов</w:t>
      </w:r>
      <w:r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Pr="004A5641">
        <w:rPr>
          <w:rFonts w:ascii="Times New Roman" w:hAnsi="Times New Roman" w:cs="Times New Roman"/>
          <w:b/>
          <w:sz w:val="18"/>
          <w:szCs w:val="18"/>
        </w:rPr>
        <w:t>Московской области, предусмотренная</w:t>
      </w:r>
    </w:p>
    <w:p w:rsidR="008F2C11" w:rsidRDefault="004B5C54" w:rsidP="004B5C54">
      <w:pPr>
        <w:spacing w:after="0" w:line="240" w:lineRule="auto"/>
        <w:jc w:val="center"/>
        <w:rPr>
          <w:rFonts w:ascii="Times New Roman" w:eastAsia="Times New Roman" w:hAnsi="Times New Roman" w:cs="Times New Roman"/>
          <w:b/>
          <w:color w:val="000000"/>
          <w:sz w:val="18"/>
          <w:szCs w:val="18"/>
        </w:rPr>
      </w:pPr>
      <w:r w:rsidRPr="004A5641">
        <w:rPr>
          <w:rFonts w:ascii="Times New Roman" w:hAnsi="Times New Roman" w:cs="Times New Roman"/>
          <w:b/>
          <w:sz w:val="18"/>
          <w:szCs w:val="18"/>
        </w:rPr>
        <w:t xml:space="preserve"> </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ероприятие</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 xml:space="preserve">  F2.07</w:t>
      </w:r>
      <w:r w:rsidR="00527857">
        <w:rPr>
          <w:rFonts w:ascii="Times New Roman" w:eastAsia="Times New Roman" w:hAnsi="Times New Roman" w:cs="Times New Roman"/>
          <w:b/>
          <w:color w:val="000000"/>
          <w:sz w:val="18"/>
          <w:szCs w:val="18"/>
        </w:rPr>
        <w:t>.</w:t>
      </w:r>
      <w:r w:rsidR="008F2C11" w:rsidRPr="0069303D">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2E4A26" w:rsidRDefault="008F2C11" w:rsidP="004B5C54">
      <w:pPr>
        <w:spacing w:after="0" w:line="240" w:lineRule="auto"/>
        <w:jc w:val="center"/>
        <w:rPr>
          <w:rFonts w:ascii="Times New Roman" w:hAnsi="Times New Roman" w:cs="Times New Roman"/>
          <w:sz w:val="18"/>
          <w:szCs w:val="18"/>
        </w:rPr>
      </w:pPr>
      <w:r w:rsidRPr="0069303D">
        <w:rPr>
          <w:rFonts w:ascii="Times New Roman" w:eastAsia="Times New Roman" w:hAnsi="Times New Roman" w:cs="Times New Roman"/>
          <w:b/>
          <w:color w:val="000000"/>
          <w:sz w:val="18"/>
          <w:szCs w:val="18"/>
        </w:rPr>
        <w:t>общественных территорий</w:t>
      </w:r>
      <w:r>
        <w:rPr>
          <w:rFonts w:ascii="Times New Roman" w:eastAsia="Times New Roman" w:hAnsi="Times New Roman" w:cs="Times New Roman"/>
          <w:b/>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2E4A26" w:rsidTr="004B5C54">
        <w:trPr>
          <w:trHeight w:val="20"/>
        </w:trPr>
        <w:tc>
          <w:tcPr>
            <w:tcW w:w="9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B5C54" w:rsidRPr="002E4A26" w:rsidTr="004B5C54">
        <w:trPr>
          <w:trHeight w:val="20"/>
        </w:trPr>
        <w:tc>
          <w:tcPr>
            <w:tcW w:w="97" w:type="pct"/>
            <w:vMerge/>
          </w:tcPr>
          <w:p w:rsidR="004B5C54" w:rsidRPr="002E4A26" w:rsidRDefault="004B5C54" w:rsidP="00B317E6">
            <w:pPr>
              <w:spacing w:after="0"/>
              <w:rPr>
                <w:rFonts w:ascii="Times New Roman" w:hAnsi="Times New Roman" w:cs="Times New Roman"/>
                <w:sz w:val="16"/>
                <w:szCs w:val="16"/>
              </w:rPr>
            </w:pPr>
          </w:p>
        </w:tc>
        <w:tc>
          <w:tcPr>
            <w:tcW w:w="499" w:type="pct"/>
            <w:vMerge/>
          </w:tcPr>
          <w:p w:rsidR="004B5C54" w:rsidRPr="002E4A26" w:rsidRDefault="004B5C54" w:rsidP="00B317E6">
            <w:pPr>
              <w:spacing w:after="0"/>
              <w:rPr>
                <w:rFonts w:ascii="Times New Roman" w:hAnsi="Times New Roman" w:cs="Times New Roman"/>
                <w:sz w:val="16"/>
                <w:szCs w:val="16"/>
              </w:rPr>
            </w:pPr>
          </w:p>
        </w:tc>
        <w:tc>
          <w:tcPr>
            <w:tcW w:w="483" w:type="pct"/>
            <w:vMerge/>
          </w:tcPr>
          <w:p w:rsidR="004B5C54" w:rsidRPr="002E4A26" w:rsidRDefault="004B5C54" w:rsidP="00B317E6">
            <w:pPr>
              <w:spacing w:after="0"/>
              <w:rPr>
                <w:rFonts w:ascii="Times New Roman" w:hAnsi="Times New Roman" w:cs="Times New Roman"/>
                <w:sz w:val="16"/>
                <w:szCs w:val="16"/>
              </w:rPr>
            </w:pPr>
          </w:p>
        </w:tc>
        <w:tc>
          <w:tcPr>
            <w:tcW w:w="577" w:type="pct"/>
            <w:vMerge/>
          </w:tcPr>
          <w:p w:rsidR="004B5C54" w:rsidRPr="002E4A26" w:rsidRDefault="004B5C54" w:rsidP="00B317E6">
            <w:pPr>
              <w:spacing w:after="0"/>
              <w:rPr>
                <w:rFonts w:ascii="Times New Roman" w:hAnsi="Times New Roman" w:cs="Times New Roman"/>
                <w:sz w:val="16"/>
                <w:szCs w:val="16"/>
              </w:rPr>
            </w:pPr>
          </w:p>
        </w:tc>
        <w:tc>
          <w:tcPr>
            <w:tcW w:w="709" w:type="pct"/>
            <w:vMerge/>
          </w:tcPr>
          <w:p w:rsidR="004B5C54" w:rsidRPr="002E4A26" w:rsidRDefault="004B5C54" w:rsidP="00B317E6">
            <w:pPr>
              <w:spacing w:after="0"/>
              <w:rPr>
                <w:rFonts w:ascii="Times New Roman" w:hAnsi="Times New Roman" w:cs="Times New Roman"/>
                <w:sz w:val="16"/>
                <w:szCs w:val="16"/>
              </w:rPr>
            </w:pPr>
          </w:p>
        </w:tc>
        <w:tc>
          <w:tcPr>
            <w:tcW w:w="501" w:type="pct"/>
            <w:vMerge/>
          </w:tcPr>
          <w:p w:rsidR="004B5C54" w:rsidRPr="002E4A26" w:rsidRDefault="004B5C54" w:rsidP="00B317E6">
            <w:pPr>
              <w:spacing w:after="0"/>
              <w:rPr>
                <w:rFonts w:ascii="Times New Roman" w:hAnsi="Times New Roman" w:cs="Times New Roman"/>
                <w:sz w:val="16"/>
                <w:szCs w:val="16"/>
              </w:rPr>
            </w:pPr>
          </w:p>
        </w:tc>
        <w:tc>
          <w:tcPr>
            <w:tcW w:w="329"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4B5C54" w:rsidRPr="002E4A26" w:rsidRDefault="004B5C54" w:rsidP="00B317E6">
            <w:pPr>
              <w:spacing w:after="0"/>
              <w:rPr>
                <w:rFonts w:ascii="Times New Roman" w:hAnsi="Times New Roman" w:cs="Times New Roman"/>
                <w:sz w:val="16"/>
                <w:szCs w:val="16"/>
              </w:rPr>
            </w:pPr>
          </w:p>
        </w:tc>
        <w:tc>
          <w:tcPr>
            <w:tcW w:w="340" w:type="pct"/>
            <w:vMerge/>
          </w:tcPr>
          <w:p w:rsidR="004B5C54" w:rsidRPr="002E4A26" w:rsidRDefault="004B5C54" w:rsidP="00B317E6">
            <w:pPr>
              <w:spacing w:after="0"/>
              <w:rPr>
                <w:rFonts w:ascii="Times New Roman" w:hAnsi="Times New Roman" w:cs="Times New Roman"/>
                <w:sz w:val="16"/>
                <w:szCs w:val="16"/>
              </w:rPr>
            </w:pPr>
          </w:p>
        </w:tc>
      </w:tr>
      <w:tr w:rsidR="004B5C54" w:rsidRPr="002E4A26" w:rsidTr="004B5C54">
        <w:trPr>
          <w:trHeight w:val="181"/>
        </w:trPr>
        <w:tc>
          <w:tcPr>
            <w:tcW w:w="9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13</w:t>
            </w:r>
          </w:p>
        </w:tc>
      </w:tr>
      <w:tr w:rsidR="00791C2C" w:rsidRPr="002E4A26" w:rsidTr="004B5C54">
        <w:trPr>
          <w:trHeight w:val="20"/>
        </w:trPr>
        <w:tc>
          <w:tcPr>
            <w:tcW w:w="97"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1</w:t>
            </w:r>
            <w:r w:rsidRPr="002E4A26">
              <w:rPr>
                <w:rFonts w:ascii="Times New Roman" w:hAnsi="Times New Roman" w:cs="Times New Roman"/>
                <w:sz w:val="16"/>
                <w:szCs w:val="16"/>
              </w:rPr>
              <w:t>.</w:t>
            </w:r>
          </w:p>
        </w:tc>
        <w:tc>
          <w:tcPr>
            <w:tcW w:w="499"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w:t>
            </w:r>
            <w:r w:rsidRPr="002E4A26">
              <w:rPr>
                <w:rFonts w:ascii="Times New Roman" w:hAnsi="Times New Roman" w:cs="Times New Roman"/>
                <w:sz w:val="16"/>
                <w:szCs w:val="16"/>
              </w:rPr>
              <w:lastRenderedPageBreak/>
              <w:t>Карла Маркса в г.о. Электросталь Московской области</w:t>
            </w:r>
          </w:p>
        </w:tc>
        <w:tc>
          <w:tcPr>
            <w:tcW w:w="483"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91C2C">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 xml:space="preserve">КСДДиБ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340" w:type="pct"/>
            <w:vMerge w:val="restart"/>
          </w:tcPr>
          <w:p w:rsidR="00791C2C"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bl>
    <w:p w:rsidR="004B5C54" w:rsidRPr="002E4A26" w:rsidRDefault="004B5C54" w:rsidP="004B5C54">
      <w:pPr>
        <w:pStyle w:val="ConsPlusNormal"/>
        <w:ind w:firstLine="539"/>
        <w:jc w:val="center"/>
        <w:rPr>
          <w:rFonts w:ascii="Times New Roman" w:hAnsi="Times New Roman" w:cs="Times New Roman"/>
          <w:sz w:val="20"/>
        </w:rPr>
      </w:pPr>
    </w:p>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w:t>
      </w:r>
      <w:r w:rsidR="00527857">
        <w:rPr>
          <w:rFonts w:ascii="Times New Roman" w:hAnsi="Times New Roman" w:cs="Times New Roman"/>
          <w:b/>
          <w:sz w:val="18"/>
          <w:szCs w:val="18"/>
        </w:rPr>
        <w:t>.</w:t>
      </w:r>
      <w:r w:rsidRPr="00422809">
        <w:rPr>
          <w:rFonts w:ascii="Times New Roman" w:hAnsi="Times New Roman" w:cs="Times New Roman"/>
          <w:b/>
          <w:sz w:val="18"/>
          <w:szCs w:val="18"/>
        </w:rPr>
        <w:t xml:space="preserve">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DC7310" w:rsidRPr="002E4A26" w:rsidRDefault="00DC7310"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3. г.о. Электросталь, ул. Октябрьская, д. 15, 17, 19, 21, ул. Карла Маркса, д. 25а, 29, 31, 33, 35, 37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 г.о. Электросталь, ул. Корнеева, д. 8, 10, 12, ул. Комсомольская, д. 2, ул. Загонова, д. 15, 17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116 804,99</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FF7B04" w:rsidP="00FF7B04">
            <w:pPr>
              <w:pStyle w:val="ConsPlusNormal"/>
              <w:rPr>
                <w:rFonts w:ascii="Times New Roman" w:hAnsi="Times New Roman" w:cs="Times New Roman"/>
                <w:sz w:val="16"/>
                <w:szCs w:val="16"/>
              </w:rPr>
            </w:pPr>
            <w:r>
              <w:rPr>
                <w:rFonts w:ascii="Times New Roman" w:hAnsi="Times New Roman" w:cs="Times New Roman"/>
                <w:sz w:val="16"/>
                <w:szCs w:val="16"/>
              </w:rPr>
              <w:t>116 805,00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 xml:space="preserve">КСДДиБ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993" w:type="dxa"/>
            <w:vMerge w:val="restart"/>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29 551,67</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w:t>
            </w:r>
            <w:r w:rsidR="00FF7B04">
              <w:rPr>
                <w:rFonts w:ascii="Times New Roman" w:hAnsi="Times New Roman" w:cs="Times New Roman"/>
                <w:sz w:val="16"/>
                <w:szCs w:val="16"/>
              </w:rPr>
              <w:t>8</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bl>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w:t>
      </w:r>
      <w:r w:rsidR="00527857">
        <w:rPr>
          <w:rFonts w:ascii="Times New Roman" w:hAnsi="Times New Roman" w:cs="Times New Roman"/>
          <w:b/>
          <w:sz w:val="18"/>
          <w:szCs w:val="18"/>
        </w:rPr>
        <w:t>.</w:t>
      </w:r>
      <w:r w:rsidR="003E57A4" w:rsidRPr="00422809">
        <w:rPr>
          <w:rFonts w:ascii="Times New Roman" w:hAnsi="Times New Roman" w:cs="Times New Roman"/>
          <w:b/>
          <w:sz w:val="18"/>
          <w:szCs w:val="18"/>
        </w:rPr>
        <w:t xml:space="preserve">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lastRenderedPageBreak/>
              <w:t>4. г.о.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г. Электросталь, ул.Ялагина,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w:t>
            </w:r>
            <w:r>
              <w:rPr>
                <w:rFonts w:ascii="Times New Roman" w:hAnsi="Times New Roman" w:cs="Times New Roman"/>
                <w:sz w:val="16"/>
                <w:szCs w:val="16"/>
              </w:rPr>
              <w:lastRenderedPageBreak/>
              <w:t>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w:t>
            </w:r>
            <w:r w:rsidRPr="002E4A26">
              <w:rPr>
                <w:rFonts w:ascii="Times New Roman" w:hAnsi="Times New Roman" w:cs="Times New Roman"/>
                <w:sz w:val="16"/>
                <w:szCs w:val="16"/>
              </w:rPr>
              <w:lastRenderedPageBreak/>
              <w:t>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527857">
        <w:rPr>
          <w:rFonts w:ascii="Times New Roman" w:hAnsi="Times New Roman" w:cs="Times New Roman"/>
          <w:b/>
          <w:sz w:val="18"/>
          <w:szCs w:val="18"/>
        </w:rPr>
        <w:t>.</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6A5F84">
              <w:rPr>
                <w:rFonts w:ascii="Times New Roman" w:hAnsi="Times New Roman" w:cs="Times New Roman"/>
                <w:sz w:val="16"/>
                <w:szCs w:val="16"/>
                <w:lang w:bidi="ru-RU"/>
              </w:rPr>
              <w:br/>
              <w:t>2. г.о. Электросталь, к Детскому саду №30 по ул. Спортивная</w:t>
            </w:r>
            <w:r w:rsidRPr="006A5F84">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4. г.о. Электросталь, к МДОУ №5, ул. Западная, д. 27</w:t>
            </w:r>
            <w:r w:rsidRPr="006A5F84">
              <w:rPr>
                <w:rFonts w:ascii="Times New Roman" w:hAnsi="Times New Roman" w:cs="Times New Roman"/>
                <w:sz w:val="16"/>
                <w:szCs w:val="16"/>
                <w:lang w:bidi="ru-RU"/>
              </w:rPr>
              <w:br/>
              <w:t>5. г.о. Электросталь, к МДОУ №28, проспект Ленина, д. 25, корп. 1</w:t>
            </w:r>
            <w:r w:rsidRPr="006A5F84">
              <w:rPr>
                <w:rFonts w:ascii="Times New Roman" w:hAnsi="Times New Roman" w:cs="Times New Roman"/>
                <w:sz w:val="16"/>
                <w:szCs w:val="16"/>
                <w:lang w:bidi="ru-RU"/>
              </w:rPr>
              <w:br/>
              <w:t>6. г.о. Электросталь, к МДОУ №35, проспект Южный, д.9, корп. 5</w:t>
            </w:r>
            <w:r w:rsidRPr="006A5F84">
              <w:rPr>
                <w:rFonts w:ascii="Times New Roman" w:hAnsi="Times New Roman" w:cs="Times New Roman"/>
                <w:sz w:val="16"/>
                <w:szCs w:val="16"/>
                <w:lang w:bidi="ru-RU"/>
              </w:rPr>
              <w:br/>
              <w:t>7. Пешеходная дорожка г.о. Электросталь к МОУ «Гимназия №4», ул. Мира, 24В</w:t>
            </w:r>
            <w:r w:rsidRPr="006A5F84">
              <w:rPr>
                <w:rFonts w:ascii="Times New Roman" w:hAnsi="Times New Roman" w:cs="Times New Roman"/>
                <w:sz w:val="16"/>
                <w:szCs w:val="16"/>
                <w:lang w:bidi="ru-RU"/>
              </w:rPr>
              <w:br/>
              <w:t>8. г.о. Электросталь, к МОУ СОШ №20, ул. Победы, д.12, корп. 3</w:t>
            </w:r>
            <w:r w:rsidRPr="006A5F84">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10. г.о. Электросталь, по ул. Западная к Детскому саду №53</w:t>
            </w:r>
            <w:r w:rsidRPr="006A5F84">
              <w:rPr>
                <w:rFonts w:ascii="Times New Roman" w:hAnsi="Times New Roman" w:cs="Times New Roman"/>
                <w:sz w:val="16"/>
                <w:szCs w:val="16"/>
                <w:lang w:bidi="ru-RU"/>
              </w:rPr>
              <w:br/>
              <w:t>11. Пешеходная дорожка ул. Спортивная, дд. 43, 45, 47 к частному сектору</w:t>
            </w:r>
            <w:r w:rsidRPr="006A5F84">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0D" w:rsidRDefault="00B96B0D" w:rsidP="00EE0CB4">
      <w:pPr>
        <w:spacing w:after="0" w:line="240" w:lineRule="auto"/>
      </w:pPr>
      <w:r>
        <w:separator/>
      </w:r>
    </w:p>
  </w:endnote>
  <w:endnote w:type="continuationSeparator" w:id="0">
    <w:p w:rsidR="00B96B0D" w:rsidRDefault="00B96B0D"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0D" w:rsidRDefault="00B96B0D" w:rsidP="00EE0CB4">
      <w:pPr>
        <w:spacing w:after="0" w:line="240" w:lineRule="auto"/>
      </w:pPr>
      <w:r>
        <w:separator/>
      </w:r>
    </w:p>
  </w:footnote>
  <w:footnote w:type="continuationSeparator" w:id="0">
    <w:p w:rsidR="00B96B0D" w:rsidRDefault="00B96B0D"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953237" w:rsidRDefault="00E971ED">
        <w:pPr>
          <w:pStyle w:val="a4"/>
          <w:jc w:val="center"/>
        </w:pPr>
        <w:r>
          <w:rPr>
            <w:noProof/>
          </w:rPr>
          <w:fldChar w:fldCharType="begin"/>
        </w:r>
        <w:r w:rsidR="00953237">
          <w:rPr>
            <w:noProof/>
          </w:rPr>
          <w:instrText xml:space="preserve"> PAGE   \* MERGEFORMAT </w:instrText>
        </w:r>
        <w:r>
          <w:rPr>
            <w:noProof/>
          </w:rPr>
          <w:fldChar w:fldCharType="separate"/>
        </w:r>
        <w:r w:rsidR="00F84A00">
          <w:rPr>
            <w:noProof/>
          </w:rPr>
          <w:t>45</w:t>
        </w:r>
        <w:r>
          <w:rPr>
            <w:noProof/>
          </w:rPr>
          <w:fldChar w:fldCharType="end"/>
        </w:r>
      </w:p>
    </w:sdtContent>
  </w:sdt>
  <w:p w:rsidR="00953237" w:rsidRDefault="009532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29F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725"/>
    <w:rsid w:val="00105C9C"/>
    <w:rsid w:val="00106860"/>
    <w:rsid w:val="00113C10"/>
    <w:rsid w:val="00114586"/>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445F9"/>
    <w:rsid w:val="001501A5"/>
    <w:rsid w:val="001524F7"/>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1B20"/>
    <w:rsid w:val="001C21D2"/>
    <w:rsid w:val="001C3A71"/>
    <w:rsid w:val="001C76E1"/>
    <w:rsid w:val="001D09E8"/>
    <w:rsid w:val="001D19E0"/>
    <w:rsid w:val="001D2464"/>
    <w:rsid w:val="001D2CA8"/>
    <w:rsid w:val="001D300E"/>
    <w:rsid w:val="001D4218"/>
    <w:rsid w:val="001D46CA"/>
    <w:rsid w:val="001D69D5"/>
    <w:rsid w:val="001D6FFC"/>
    <w:rsid w:val="001E1521"/>
    <w:rsid w:val="001E550D"/>
    <w:rsid w:val="001F2A6D"/>
    <w:rsid w:val="001F3A4D"/>
    <w:rsid w:val="001F7B85"/>
    <w:rsid w:val="00200C68"/>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20C17"/>
    <w:rsid w:val="00220E54"/>
    <w:rsid w:val="00221CF1"/>
    <w:rsid w:val="00221F62"/>
    <w:rsid w:val="002221C0"/>
    <w:rsid w:val="0022436B"/>
    <w:rsid w:val="00231A24"/>
    <w:rsid w:val="00232F20"/>
    <w:rsid w:val="00233395"/>
    <w:rsid w:val="0023484C"/>
    <w:rsid w:val="00235A03"/>
    <w:rsid w:val="002428F2"/>
    <w:rsid w:val="00242A2F"/>
    <w:rsid w:val="00243CEA"/>
    <w:rsid w:val="00244C4C"/>
    <w:rsid w:val="00245595"/>
    <w:rsid w:val="00245BA6"/>
    <w:rsid w:val="002475ED"/>
    <w:rsid w:val="002516CE"/>
    <w:rsid w:val="00251AE9"/>
    <w:rsid w:val="00252515"/>
    <w:rsid w:val="00252B2D"/>
    <w:rsid w:val="00256D54"/>
    <w:rsid w:val="00261FD2"/>
    <w:rsid w:val="002637CA"/>
    <w:rsid w:val="00264A72"/>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16BF"/>
    <w:rsid w:val="003431EF"/>
    <w:rsid w:val="00344B3E"/>
    <w:rsid w:val="003569E5"/>
    <w:rsid w:val="003622FD"/>
    <w:rsid w:val="00367D25"/>
    <w:rsid w:val="00371458"/>
    <w:rsid w:val="00371A62"/>
    <w:rsid w:val="003735AF"/>
    <w:rsid w:val="003740D5"/>
    <w:rsid w:val="003740FD"/>
    <w:rsid w:val="00375024"/>
    <w:rsid w:val="00377FCF"/>
    <w:rsid w:val="003822DA"/>
    <w:rsid w:val="003834FF"/>
    <w:rsid w:val="0038628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12C"/>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673B"/>
    <w:rsid w:val="00457236"/>
    <w:rsid w:val="004661DB"/>
    <w:rsid w:val="00467DEA"/>
    <w:rsid w:val="004713B6"/>
    <w:rsid w:val="0047306D"/>
    <w:rsid w:val="0048040F"/>
    <w:rsid w:val="004815DD"/>
    <w:rsid w:val="004829A2"/>
    <w:rsid w:val="00482C6A"/>
    <w:rsid w:val="00485E7E"/>
    <w:rsid w:val="004869AF"/>
    <w:rsid w:val="00487F84"/>
    <w:rsid w:val="00492CA1"/>
    <w:rsid w:val="00495F95"/>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71AD"/>
    <w:rsid w:val="00527857"/>
    <w:rsid w:val="0053060A"/>
    <w:rsid w:val="0053418C"/>
    <w:rsid w:val="005351F9"/>
    <w:rsid w:val="005362BF"/>
    <w:rsid w:val="005367FF"/>
    <w:rsid w:val="0053682D"/>
    <w:rsid w:val="00537743"/>
    <w:rsid w:val="00540C5B"/>
    <w:rsid w:val="00540E1A"/>
    <w:rsid w:val="00542000"/>
    <w:rsid w:val="00543245"/>
    <w:rsid w:val="00543C37"/>
    <w:rsid w:val="0055167B"/>
    <w:rsid w:val="00553E5E"/>
    <w:rsid w:val="00555696"/>
    <w:rsid w:val="00555993"/>
    <w:rsid w:val="00557A42"/>
    <w:rsid w:val="00560319"/>
    <w:rsid w:val="00565EFC"/>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23"/>
    <w:rsid w:val="005C65ED"/>
    <w:rsid w:val="005C6B59"/>
    <w:rsid w:val="005D3187"/>
    <w:rsid w:val="005D3205"/>
    <w:rsid w:val="005D717F"/>
    <w:rsid w:val="005D77E9"/>
    <w:rsid w:val="005E364F"/>
    <w:rsid w:val="005E5B6A"/>
    <w:rsid w:val="005F120E"/>
    <w:rsid w:val="005F146A"/>
    <w:rsid w:val="005F300B"/>
    <w:rsid w:val="005F4CD9"/>
    <w:rsid w:val="005F538B"/>
    <w:rsid w:val="005F76F3"/>
    <w:rsid w:val="00602786"/>
    <w:rsid w:val="006058F2"/>
    <w:rsid w:val="006077B7"/>
    <w:rsid w:val="0061074B"/>
    <w:rsid w:val="00610D99"/>
    <w:rsid w:val="00611552"/>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5503"/>
    <w:rsid w:val="006C57BD"/>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1C2C"/>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42D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48"/>
    <w:rsid w:val="00847EE0"/>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4CCC"/>
    <w:rsid w:val="0087501A"/>
    <w:rsid w:val="008768CB"/>
    <w:rsid w:val="008837C2"/>
    <w:rsid w:val="0088430A"/>
    <w:rsid w:val="00886952"/>
    <w:rsid w:val="00887737"/>
    <w:rsid w:val="008914AA"/>
    <w:rsid w:val="00893676"/>
    <w:rsid w:val="008949E4"/>
    <w:rsid w:val="008A10E5"/>
    <w:rsid w:val="008A2BB1"/>
    <w:rsid w:val="008A4699"/>
    <w:rsid w:val="008A65EC"/>
    <w:rsid w:val="008B1A3F"/>
    <w:rsid w:val="008B1F45"/>
    <w:rsid w:val="008B325A"/>
    <w:rsid w:val="008B5053"/>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4175"/>
    <w:rsid w:val="00926B34"/>
    <w:rsid w:val="00927A40"/>
    <w:rsid w:val="0093661E"/>
    <w:rsid w:val="0093663C"/>
    <w:rsid w:val="0094118C"/>
    <w:rsid w:val="00942586"/>
    <w:rsid w:val="00942915"/>
    <w:rsid w:val="00942ED3"/>
    <w:rsid w:val="00944862"/>
    <w:rsid w:val="00945177"/>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8B6"/>
    <w:rsid w:val="009927B4"/>
    <w:rsid w:val="00993564"/>
    <w:rsid w:val="00996586"/>
    <w:rsid w:val="009A0435"/>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0C00"/>
    <w:rsid w:val="009F3178"/>
    <w:rsid w:val="009F52F7"/>
    <w:rsid w:val="009F5881"/>
    <w:rsid w:val="009F696F"/>
    <w:rsid w:val="009F73EE"/>
    <w:rsid w:val="00A037AB"/>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ADE"/>
    <w:rsid w:val="00AA483A"/>
    <w:rsid w:val="00AA4B4D"/>
    <w:rsid w:val="00AB0C13"/>
    <w:rsid w:val="00AB2F45"/>
    <w:rsid w:val="00AB3FC7"/>
    <w:rsid w:val="00AB5227"/>
    <w:rsid w:val="00AB697B"/>
    <w:rsid w:val="00AB7949"/>
    <w:rsid w:val="00AC535F"/>
    <w:rsid w:val="00AC6525"/>
    <w:rsid w:val="00AC6AE9"/>
    <w:rsid w:val="00AD0681"/>
    <w:rsid w:val="00AD0844"/>
    <w:rsid w:val="00AD4DD6"/>
    <w:rsid w:val="00AD584B"/>
    <w:rsid w:val="00AE1F49"/>
    <w:rsid w:val="00AE390A"/>
    <w:rsid w:val="00AE4611"/>
    <w:rsid w:val="00AE4762"/>
    <w:rsid w:val="00AE71CD"/>
    <w:rsid w:val="00AF3429"/>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7E6"/>
    <w:rsid w:val="00B31850"/>
    <w:rsid w:val="00B32E7F"/>
    <w:rsid w:val="00B33701"/>
    <w:rsid w:val="00B3469D"/>
    <w:rsid w:val="00B3620D"/>
    <w:rsid w:val="00B378F8"/>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0D"/>
    <w:rsid w:val="00B96B94"/>
    <w:rsid w:val="00BA0B47"/>
    <w:rsid w:val="00BA13DF"/>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4949"/>
    <w:rsid w:val="00C54F7D"/>
    <w:rsid w:val="00C615DD"/>
    <w:rsid w:val="00C629AD"/>
    <w:rsid w:val="00C62DDE"/>
    <w:rsid w:val="00C64604"/>
    <w:rsid w:val="00C67317"/>
    <w:rsid w:val="00C749D1"/>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254B"/>
    <w:rsid w:val="00CF370E"/>
    <w:rsid w:val="00CF6508"/>
    <w:rsid w:val="00D0033C"/>
    <w:rsid w:val="00D005F9"/>
    <w:rsid w:val="00D01B3C"/>
    <w:rsid w:val="00D030F2"/>
    <w:rsid w:val="00D03C72"/>
    <w:rsid w:val="00D05CA7"/>
    <w:rsid w:val="00D06AB8"/>
    <w:rsid w:val="00D0722E"/>
    <w:rsid w:val="00D13387"/>
    <w:rsid w:val="00D14885"/>
    <w:rsid w:val="00D20569"/>
    <w:rsid w:val="00D21DC9"/>
    <w:rsid w:val="00D2238C"/>
    <w:rsid w:val="00D224BE"/>
    <w:rsid w:val="00D2616C"/>
    <w:rsid w:val="00D2736A"/>
    <w:rsid w:val="00D31B75"/>
    <w:rsid w:val="00D33C05"/>
    <w:rsid w:val="00D357E7"/>
    <w:rsid w:val="00D37328"/>
    <w:rsid w:val="00D373F0"/>
    <w:rsid w:val="00D375FE"/>
    <w:rsid w:val="00D40DAB"/>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95A81"/>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C7310"/>
    <w:rsid w:val="00DD08F2"/>
    <w:rsid w:val="00DD1157"/>
    <w:rsid w:val="00DD13E2"/>
    <w:rsid w:val="00DD3201"/>
    <w:rsid w:val="00DD36CA"/>
    <w:rsid w:val="00DD7E24"/>
    <w:rsid w:val="00DE33E2"/>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19D"/>
    <w:rsid w:val="00E41494"/>
    <w:rsid w:val="00E41B14"/>
    <w:rsid w:val="00E42BC5"/>
    <w:rsid w:val="00E43A52"/>
    <w:rsid w:val="00E452FA"/>
    <w:rsid w:val="00E50969"/>
    <w:rsid w:val="00E50F75"/>
    <w:rsid w:val="00E54CCA"/>
    <w:rsid w:val="00E5595A"/>
    <w:rsid w:val="00E6304E"/>
    <w:rsid w:val="00E64073"/>
    <w:rsid w:val="00E64D06"/>
    <w:rsid w:val="00E66F02"/>
    <w:rsid w:val="00E727C9"/>
    <w:rsid w:val="00E73548"/>
    <w:rsid w:val="00E739B1"/>
    <w:rsid w:val="00E7574D"/>
    <w:rsid w:val="00E76C39"/>
    <w:rsid w:val="00E86A3B"/>
    <w:rsid w:val="00E86CDF"/>
    <w:rsid w:val="00E90339"/>
    <w:rsid w:val="00E9088A"/>
    <w:rsid w:val="00E90C99"/>
    <w:rsid w:val="00E90FD2"/>
    <w:rsid w:val="00E91FFE"/>
    <w:rsid w:val="00E92223"/>
    <w:rsid w:val="00E9301C"/>
    <w:rsid w:val="00E935A7"/>
    <w:rsid w:val="00E93D9D"/>
    <w:rsid w:val="00E9580B"/>
    <w:rsid w:val="00E971ED"/>
    <w:rsid w:val="00E97C85"/>
    <w:rsid w:val="00EA2619"/>
    <w:rsid w:val="00EA28EF"/>
    <w:rsid w:val="00EB16BD"/>
    <w:rsid w:val="00EB64AC"/>
    <w:rsid w:val="00EC29F1"/>
    <w:rsid w:val="00EC66AD"/>
    <w:rsid w:val="00EC683B"/>
    <w:rsid w:val="00EC718B"/>
    <w:rsid w:val="00ED2ED6"/>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4ACA"/>
    <w:rsid w:val="00F15E0D"/>
    <w:rsid w:val="00F1688B"/>
    <w:rsid w:val="00F21A88"/>
    <w:rsid w:val="00F21B65"/>
    <w:rsid w:val="00F21F7A"/>
    <w:rsid w:val="00F25176"/>
    <w:rsid w:val="00F25C9D"/>
    <w:rsid w:val="00F26198"/>
    <w:rsid w:val="00F31863"/>
    <w:rsid w:val="00F328D1"/>
    <w:rsid w:val="00F32C23"/>
    <w:rsid w:val="00F33125"/>
    <w:rsid w:val="00F33D81"/>
    <w:rsid w:val="00F34686"/>
    <w:rsid w:val="00F3543A"/>
    <w:rsid w:val="00F374CC"/>
    <w:rsid w:val="00F40853"/>
    <w:rsid w:val="00F4295E"/>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84A00"/>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57CA"/>
    <w:rsid w:val="00FA7B1B"/>
    <w:rsid w:val="00FA7CBF"/>
    <w:rsid w:val="00FA7F75"/>
    <w:rsid w:val="00FB0809"/>
    <w:rsid w:val="00FB1E22"/>
    <w:rsid w:val="00FB288E"/>
    <w:rsid w:val="00FB339E"/>
    <w:rsid w:val="00FB7653"/>
    <w:rsid w:val="00FB7730"/>
    <w:rsid w:val="00FC134D"/>
    <w:rsid w:val="00FC16E8"/>
    <w:rsid w:val="00FC342D"/>
    <w:rsid w:val="00FC70A4"/>
    <w:rsid w:val="00FD1029"/>
    <w:rsid w:val="00FD4324"/>
    <w:rsid w:val="00FD5655"/>
    <w:rsid w:val="00FE4275"/>
    <w:rsid w:val="00FE53B9"/>
    <w:rsid w:val="00FE71A3"/>
    <w:rsid w:val="00FE77A2"/>
    <w:rsid w:val="00FF1396"/>
    <w:rsid w:val="00FF213C"/>
    <w:rsid w:val="00FF2717"/>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928D8-34D3-49D1-B15E-28B8C61E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12B3-1B22-46BA-A5B9-1A6B5B61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15752</Words>
  <Characters>89787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10</cp:revision>
  <cp:lastPrinted>2021-10-27T11:50:00Z</cp:lastPrinted>
  <dcterms:created xsi:type="dcterms:W3CDTF">2021-10-26T13:15:00Z</dcterms:created>
  <dcterms:modified xsi:type="dcterms:W3CDTF">2021-11-02T12:12:00Z</dcterms:modified>
</cp:coreProperties>
</file>