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9D4EBB" w:rsidRDefault="00DB24C1" w:rsidP="009D4EBB">
      <w:pPr>
        <w:ind w:right="-1"/>
        <w:jc w:val="center"/>
        <w:rPr>
          <w:sz w:val="28"/>
          <w:szCs w:val="28"/>
        </w:rPr>
      </w:pPr>
      <w:r w:rsidRPr="009D4EBB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9D4EBB" w:rsidRDefault="00DB24C1" w:rsidP="009D4EBB">
      <w:pPr>
        <w:ind w:right="-1"/>
        <w:jc w:val="center"/>
        <w:rPr>
          <w:sz w:val="28"/>
          <w:szCs w:val="28"/>
        </w:rPr>
      </w:pPr>
    </w:p>
    <w:p w:rsidR="00DB24C1" w:rsidRPr="009D4EBB" w:rsidRDefault="009D4EBB" w:rsidP="009D4EB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9D4EBB">
        <w:rPr>
          <w:sz w:val="28"/>
          <w:szCs w:val="28"/>
        </w:rPr>
        <w:t>ГОРОДСКОГО ОКРУГА ЭЛЕКТРОСТАЛЬ</w:t>
      </w:r>
    </w:p>
    <w:p w:rsidR="00DB24C1" w:rsidRPr="009D4EBB" w:rsidRDefault="00DB24C1" w:rsidP="009D4EBB">
      <w:pPr>
        <w:ind w:right="-1"/>
        <w:contextualSpacing/>
        <w:jc w:val="center"/>
        <w:rPr>
          <w:sz w:val="28"/>
          <w:szCs w:val="28"/>
        </w:rPr>
      </w:pPr>
    </w:p>
    <w:p w:rsidR="00DB24C1" w:rsidRPr="009D4EBB" w:rsidRDefault="009D4EBB" w:rsidP="009D4EB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9D4EBB">
        <w:rPr>
          <w:sz w:val="28"/>
          <w:szCs w:val="28"/>
        </w:rPr>
        <w:t>ОБЛАСТИ</w:t>
      </w:r>
    </w:p>
    <w:p w:rsidR="00DB24C1" w:rsidRPr="009D4EBB" w:rsidRDefault="00DB24C1" w:rsidP="009D4EBB">
      <w:pPr>
        <w:ind w:right="-1"/>
        <w:contextualSpacing/>
        <w:jc w:val="center"/>
        <w:rPr>
          <w:sz w:val="28"/>
          <w:szCs w:val="28"/>
        </w:rPr>
      </w:pPr>
    </w:p>
    <w:p w:rsidR="00DB24C1" w:rsidRPr="009D4EBB" w:rsidRDefault="00DB24C1" w:rsidP="009D4EB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D4EBB">
        <w:rPr>
          <w:sz w:val="44"/>
          <w:szCs w:val="44"/>
        </w:rPr>
        <w:t>ПОСТАНОВЛЕНИЕ</w:t>
      </w:r>
    </w:p>
    <w:p w:rsidR="00DB24C1" w:rsidRPr="009D4EBB" w:rsidRDefault="00DB24C1" w:rsidP="009D4EBB">
      <w:pPr>
        <w:ind w:right="-1"/>
        <w:jc w:val="center"/>
        <w:rPr>
          <w:sz w:val="44"/>
          <w:szCs w:val="44"/>
        </w:rPr>
      </w:pPr>
    </w:p>
    <w:p w:rsidR="00DB24C1" w:rsidRPr="00953BDA" w:rsidRDefault="008A3388" w:rsidP="009D4EBB">
      <w:pPr>
        <w:ind w:right="-1"/>
        <w:jc w:val="center"/>
        <w:outlineLvl w:val="0"/>
      </w:pPr>
      <w:r w:rsidRPr="009D4EBB">
        <w:t>29.06.2021</w:t>
      </w:r>
      <w:r w:rsidR="00B544EF">
        <w:t xml:space="preserve"> </w:t>
      </w:r>
      <w:r w:rsidR="00DB24C1">
        <w:t xml:space="preserve">№ </w:t>
      </w:r>
      <w:r w:rsidRPr="009D4EBB">
        <w:t>508/6</w:t>
      </w:r>
    </w:p>
    <w:p w:rsidR="00DB24C1" w:rsidRDefault="00DB24C1" w:rsidP="009D4EBB">
      <w:pPr>
        <w:ind w:right="-1"/>
      </w:pPr>
    </w:p>
    <w:p w:rsidR="00D42026" w:rsidRPr="00D314FB" w:rsidRDefault="00B57016" w:rsidP="00A516C5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</w:p>
    <w:p w:rsidR="00D42026" w:rsidRPr="00B57016" w:rsidRDefault="00D42026" w:rsidP="00A516C5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:rsidR="00DB24C1" w:rsidRDefault="00DB24C1" w:rsidP="00A516C5">
      <w:pPr>
        <w:spacing w:line="240" w:lineRule="exact"/>
        <w:jc w:val="center"/>
      </w:pPr>
      <w:r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9D4EBB" w:rsidRPr="008A100B" w:rsidRDefault="009D4EBB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3E1FF0" w:rsidRDefault="003E1FF0" w:rsidP="00DB24C1">
      <w:pPr>
        <w:tabs>
          <w:tab w:val="center" w:pos="4677"/>
        </w:tabs>
        <w:jc w:val="both"/>
      </w:pPr>
    </w:p>
    <w:p w:rsidR="009D4EBB" w:rsidRDefault="009D4EBB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Pr="008A100B">
        <w:t xml:space="preserve"> 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B760E3" w:rsidRDefault="00B760E3" w:rsidP="009D4EBB">
      <w:pPr>
        <w:tabs>
          <w:tab w:val="left" w:pos="851"/>
        </w:tabs>
        <w:rPr>
          <w:rFonts w:cs="Times New Roman"/>
        </w:r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Default="009D4EBB" w:rsidP="00AA0E7D">
      <w:pPr>
        <w:tabs>
          <w:tab w:val="left" w:pos="851"/>
        </w:tabs>
        <w:ind w:left="5103"/>
      </w:pPr>
      <w:r w:rsidRPr="009D4EBB">
        <w:t>29.06.2021</w:t>
      </w:r>
      <w:r>
        <w:t xml:space="preserve"> № </w:t>
      </w:r>
      <w:r w:rsidRPr="009D4EBB">
        <w:t>508/6</w:t>
      </w:r>
    </w:p>
    <w:p w:rsidR="009D4EBB" w:rsidRPr="00564CF1" w:rsidRDefault="009D4EBB" w:rsidP="00AA0E7D">
      <w:pPr>
        <w:tabs>
          <w:tab w:val="left" w:pos="851"/>
        </w:tabs>
        <w:ind w:left="5103"/>
        <w:rPr>
          <w:rFonts w:cs="Times New Roman"/>
          <w:u w:val="single"/>
        </w:rPr>
      </w:pP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414D72" w:rsidRPr="00414D72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lastRenderedPageBreak/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3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C8" w:rsidRPr="008D48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</w:t>
            </w:r>
          </w:p>
        </w:tc>
      </w:tr>
      <w:tr w:rsidR="00451060" w:rsidRPr="00163DE6" w:rsidTr="005B043F">
        <w:tc>
          <w:tcPr>
            <w:tcW w:w="2060" w:type="dxa"/>
            <w:vMerge/>
          </w:tcPr>
          <w:p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366F0" w:rsidRPr="00163DE6" w:rsidTr="008F4E49">
        <w:tc>
          <w:tcPr>
            <w:tcW w:w="2060" w:type="dxa"/>
          </w:tcPr>
          <w:p w:rsidR="00D366F0" w:rsidRPr="00163DE6" w:rsidRDefault="00D366F0" w:rsidP="00D366F0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4 087 137,06</w:t>
            </w:r>
          </w:p>
        </w:tc>
        <w:tc>
          <w:tcPr>
            <w:tcW w:w="1209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831 149,42</w:t>
            </w:r>
          </w:p>
        </w:tc>
        <w:tc>
          <w:tcPr>
            <w:tcW w:w="1275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767 231,73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768 082,49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D366F0" w:rsidRPr="00163DE6" w:rsidTr="008F4E49">
        <w:tc>
          <w:tcPr>
            <w:tcW w:w="2060" w:type="dxa"/>
          </w:tcPr>
          <w:p w:rsidR="00D366F0" w:rsidRPr="00163DE6" w:rsidRDefault="00D366F0" w:rsidP="00D3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9 709 547,16</w:t>
            </w:r>
          </w:p>
        </w:tc>
        <w:tc>
          <w:tcPr>
            <w:tcW w:w="1209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1 927 906,91</w:t>
            </w:r>
          </w:p>
        </w:tc>
        <w:tc>
          <w:tcPr>
            <w:tcW w:w="1275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1 934 667,66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1 946 294,92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D366F0" w:rsidRPr="00163DE6" w:rsidTr="008F4E49">
        <w:tc>
          <w:tcPr>
            <w:tcW w:w="2060" w:type="dxa"/>
          </w:tcPr>
          <w:p w:rsidR="00D366F0" w:rsidRPr="00163DE6" w:rsidRDefault="00D366F0" w:rsidP="00D3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408 100,46</w:t>
            </w:r>
          </w:p>
        </w:tc>
        <w:tc>
          <w:tcPr>
            <w:tcW w:w="1209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91 026,43</w:t>
            </w:r>
          </w:p>
        </w:tc>
        <w:tc>
          <w:tcPr>
            <w:tcW w:w="1275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95 231,56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366F0" w:rsidRPr="00163DE6" w:rsidTr="008F4E49">
        <w:tc>
          <w:tcPr>
            <w:tcW w:w="2060" w:type="dxa"/>
          </w:tcPr>
          <w:p w:rsidR="00D366F0" w:rsidRPr="00163DE6" w:rsidRDefault="00D366F0" w:rsidP="00D3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14 204 784,68</w:t>
            </w:r>
          </w:p>
        </w:tc>
        <w:tc>
          <w:tcPr>
            <w:tcW w:w="1209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2 850 082,76</w:t>
            </w:r>
          </w:p>
        </w:tc>
        <w:tc>
          <w:tcPr>
            <w:tcW w:w="1275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2 797 130,95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2 808 486,68</w:t>
            </w:r>
          </w:p>
        </w:tc>
        <w:tc>
          <w:tcPr>
            <w:tcW w:w="1276" w:type="dxa"/>
            <w:vAlign w:val="center"/>
          </w:tcPr>
          <w:p w:rsidR="00D366F0" w:rsidRDefault="00D366F0" w:rsidP="00D36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</w:t>
      </w:r>
      <w:r w:rsidR="007D0FD1">
        <w:rPr>
          <w:rFonts w:cs="Times New Roman"/>
        </w:rPr>
        <w:lastRenderedPageBreak/>
        <w:t xml:space="preserve">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системе дополнительного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</w:t>
      </w:r>
      <w:r w:rsidRPr="00C97E02">
        <w:rPr>
          <w:rFonts w:eastAsiaTheme="minorHAnsi" w:cs="Times New Roman"/>
          <w:lang w:eastAsia="en-US"/>
        </w:rPr>
        <w:lastRenderedPageBreak/>
        <w:t xml:space="preserve">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lastRenderedPageBreak/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9D4EBB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6. </w:t>
      </w:r>
      <w:r w:rsidR="00B93448" w:rsidRPr="002618A2">
        <w:rPr>
          <w:rFonts w:cs="Times New Roman"/>
        </w:rPr>
        <w:t>Показатели реализации</w:t>
      </w:r>
      <w:r w:rsidR="00B93448">
        <w:rPr>
          <w:rFonts w:cs="Times New Roman"/>
        </w:rPr>
        <w:t xml:space="preserve"> </w:t>
      </w:r>
      <w:r w:rsidR="00A53BF4" w:rsidRPr="00915F62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:rsidTr="000E6BFB">
        <w:tc>
          <w:tcPr>
            <w:tcW w:w="567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357715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указу Президента </w:t>
            </w:r>
            <w:r w:rsidRPr="00D4011C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      </w:r>
            <w:r>
              <w:rPr>
                <w:rFonts w:cs="Times New Roman"/>
                <w:i/>
                <w:sz w:val="20"/>
              </w:rP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D24B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D24B20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4609DD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освоивших образовательные программы основного общего и среднего общего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953F72" w:rsidRDefault="00845026" w:rsidP="0079503E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Pr="00953F72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Default="00953F72" w:rsidP="0079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A355CE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704B01" w:rsidRPr="0025365B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A355CE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C6627E" w:rsidRDefault="00AC1B6A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E2. Федеральный проект «Успех каждого </w:t>
            </w:r>
            <w:proofErr w:type="spellStart"/>
            <w:proofErr w:type="gramStart"/>
            <w:r w:rsidRPr="004107D0">
              <w:rPr>
                <w:rFonts w:ascii="Times New Roman" w:hAnsi="Times New Roman"/>
                <w:sz w:val="20"/>
              </w:rPr>
              <w:t>ребенка»</w:t>
            </w:r>
            <w:r w:rsidR="003B7569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688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7D7E0B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 w:rsidR="007D7E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0DCB" w:rsidRPr="00A02FA9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0E6BFB" w:rsidRDefault="00C030E5" w:rsidP="00C030E5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0E6BFB" w:rsidRPr="00A02FA9" w:rsidTr="002B10C4">
        <w:trPr>
          <w:jc w:val="center"/>
        </w:trPr>
        <w:tc>
          <w:tcPr>
            <w:tcW w:w="631" w:type="dxa"/>
          </w:tcPr>
          <w:p w:rsidR="000E6BFB" w:rsidRDefault="000E6BFB" w:rsidP="000E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27" w:type="dxa"/>
          </w:tcPr>
          <w:p w:rsidR="000E6BFB" w:rsidRPr="00704B01" w:rsidRDefault="000E6BFB" w:rsidP="000E6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0E6BFB" w:rsidRDefault="007908AD" w:rsidP="000E6B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0E6BFB" w:rsidRPr="00C030E5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33" w:type="dxa"/>
          </w:tcPr>
          <w:p w:rsidR="000E6BFB" w:rsidRPr="00C030E5" w:rsidRDefault="007908AD" w:rsidP="000E6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F0D36" w:rsidRPr="00A02FA9" w:rsidTr="002B10C4">
        <w:trPr>
          <w:jc w:val="center"/>
        </w:trPr>
        <w:tc>
          <w:tcPr>
            <w:tcW w:w="631" w:type="dxa"/>
          </w:tcPr>
          <w:p w:rsidR="002F0D36" w:rsidRDefault="002F0D36" w:rsidP="002F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F0D36" w:rsidRDefault="002F0D36" w:rsidP="002F0D36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2F0D36" w:rsidRPr="00A02FA9" w:rsidRDefault="00992430" w:rsidP="002F0D36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33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:rsidTr="007A3377">
        <w:tc>
          <w:tcPr>
            <w:tcW w:w="4478" w:type="dxa"/>
          </w:tcPr>
          <w:p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:rsidTr="007A3377">
        <w:tc>
          <w:tcPr>
            <w:tcW w:w="4478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D6440" w:rsidRPr="002618A2" w:rsidTr="007A3377">
        <w:tc>
          <w:tcPr>
            <w:tcW w:w="4478" w:type="dxa"/>
          </w:tcPr>
          <w:p w:rsidR="009D6440" w:rsidRPr="000B2366" w:rsidRDefault="009D6440" w:rsidP="009D644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5 265 097,92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1 052 348,45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1 062 292,00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2145" w:type="dxa"/>
            <w:vMerge w:val="restart"/>
          </w:tcPr>
          <w:p w:rsidR="009D6440" w:rsidRPr="002618A2" w:rsidRDefault="009D6440" w:rsidP="009D6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D6440" w:rsidRPr="002618A2" w:rsidTr="007A3377">
        <w:tc>
          <w:tcPr>
            <w:tcW w:w="4478" w:type="dxa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1 738 973,21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357 270,45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342 409,00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3 526 124,71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719 883,00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310E1D" w:rsidRDefault="009D6440" w:rsidP="009D644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Всего по 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Управлению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5 219 382,99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1 050 348,45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1 027 085,00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2145" w:type="dxa"/>
            <w:vMerge w:val="restart"/>
          </w:tcPr>
          <w:p w:rsidR="009D6440" w:rsidRPr="00662420" w:rsidRDefault="00662420" w:rsidP="009D64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1 728 499,99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357 270,45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334 007,00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3 490 883,00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9D6440" w:rsidRDefault="009D6440" w:rsidP="009D6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истрации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 w:val="restart"/>
          </w:tcPr>
          <w:p w:rsidR="009D6440" w:rsidRPr="008443B5" w:rsidRDefault="008443B5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310E1D" w:rsidRDefault="0023011F" w:rsidP="002301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35 725,93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33 207,00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:rsidR="0023011F" w:rsidRPr="008443B5" w:rsidRDefault="008443B5" w:rsidP="008443B5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10 473,22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3011F" w:rsidRDefault="0023011F" w:rsidP="0023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25 252,71</w:t>
            </w:r>
          </w:p>
        </w:tc>
        <w:tc>
          <w:tcPr>
            <w:tcW w:w="122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24 805,00</w:t>
            </w:r>
          </w:p>
        </w:tc>
        <w:tc>
          <w:tcPr>
            <w:tcW w:w="1275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FA0AB1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7300" w:rsidRDefault="009E62D1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E62D1" w:rsidRPr="001D37F6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2D1" w:rsidRPr="00FE0B2D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5 221 067,99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1 050 692,45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1 027 429,00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793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79362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7936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9362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1 726 485,99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:rsidR="009E62D1" w:rsidRPr="00793626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793626">
              <w:rPr>
                <w:color w:val="000000"/>
                <w:sz w:val="16"/>
                <w:szCs w:val="16"/>
              </w:rPr>
              <w:t>356 851,45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333 588,00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793626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Merge/>
          </w:tcPr>
          <w:p w:rsidR="009E62D1" w:rsidRPr="00FE0B2D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936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3 494 582,00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9E62D1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3 293 632,40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3 270 586,00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9E62D1" w:rsidRPr="006853D7" w:rsidRDefault="009E62D1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/>
          </w:tcPr>
          <w:p w:rsidR="009E62D1" w:rsidRPr="00FE0B2D" w:rsidRDefault="009E62D1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9E62D1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9E62D1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9E62D1" w:rsidRPr="00FE0B2D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646159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E62D1" w:rsidRDefault="009E62D1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C5494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E62D1" w:rsidRDefault="009E62D1" w:rsidP="00C549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9E62D1" w:rsidRPr="00FE0B2D" w:rsidRDefault="009E62D1" w:rsidP="00C5494A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C5494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C549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1 700 490,02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355 751,45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 w:val="restart"/>
          </w:tcPr>
          <w:p w:rsidR="009E62D1" w:rsidRPr="00CD1C96" w:rsidRDefault="009E62D1" w:rsidP="00C549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C549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C549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C549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C5494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C549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1 700 490,02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9E62D1" w:rsidRPr="00C5494A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C5494A">
              <w:rPr>
                <w:color w:val="000000"/>
                <w:sz w:val="16"/>
                <w:szCs w:val="16"/>
              </w:rPr>
              <w:t>355 751,45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Align w:val="center"/>
          </w:tcPr>
          <w:p w:rsidR="009E62D1" w:rsidRPr="00615E47" w:rsidRDefault="009E62D1" w:rsidP="00C5494A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/>
          </w:tcPr>
          <w:p w:rsidR="009E62D1" w:rsidRPr="00FE0B2D" w:rsidRDefault="009E62D1" w:rsidP="00C5494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C5494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E62D1" w:rsidRPr="0000439E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Default="009E62D1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9E62D1" w:rsidRPr="00A55D63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9E62D1" w:rsidRPr="00FE0B2D" w:rsidRDefault="009E62D1" w:rsidP="000C069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lastRenderedPageBreak/>
              <w:t>2 014,00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E62D1" w:rsidRPr="00BE1285" w:rsidRDefault="009E62D1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5 265 097,92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1 052 348,45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1 062 292,00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1 023 312,10</w:t>
            </w:r>
          </w:p>
        </w:tc>
        <w:tc>
          <w:tcPr>
            <w:tcW w:w="2835" w:type="dxa"/>
            <w:gridSpan w:val="2"/>
            <w:vMerge w:val="restart"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1 738 973,21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357 270,45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342 409,00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328 234,10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168B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168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3 526 124,71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719 883,00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1134" w:type="dxa"/>
            <w:vAlign w:val="center"/>
          </w:tcPr>
          <w:p w:rsidR="009E62D1" w:rsidRPr="003168B1" w:rsidRDefault="009E62D1" w:rsidP="003168B1">
            <w:pPr>
              <w:jc w:val="center"/>
              <w:rPr>
                <w:sz w:val="16"/>
                <w:szCs w:val="16"/>
              </w:rPr>
            </w:pPr>
            <w:r w:rsidRPr="003168B1">
              <w:rPr>
                <w:sz w:val="16"/>
                <w:szCs w:val="16"/>
              </w:rPr>
              <w:t>695 078,00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316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481D9B" w:rsidRPr="002618A2" w:rsidTr="00090508">
        <w:tc>
          <w:tcPr>
            <w:tcW w:w="4478" w:type="dxa"/>
          </w:tcPr>
          <w:p w:rsidR="00481D9B" w:rsidRPr="000B2366" w:rsidRDefault="00481D9B" w:rsidP="00481D9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7 955 176,25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1 621 922,83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1 561 216,75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1 612 537,58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1 559 405,39</w:t>
            </w:r>
          </w:p>
        </w:tc>
        <w:tc>
          <w:tcPr>
            <w:tcW w:w="2287" w:type="dxa"/>
            <w:vMerge w:val="restart"/>
          </w:tcPr>
          <w:p w:rsidR="00481D9B" w:rsidRPr="002618A2" w:rsidRDefault="00481D9B" w:rsidP="00481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81D9B" w:rsidRPr="002618A2" w:rsidTr="00090508">
        <w:tc>
          <w:tcPr>
            <w:tcW w:w="4478" w:type="dxa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1 374 093,34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298 067,49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251 200,53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267 211,39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rPr>
                <w:rFonts w:cs="Times New Roman"/>
              </w:rPr>
            </w:pPr>
          </w:p>
        </w:tc>
      </w:tr>
      <w:tr w:rsidR="00481D9B" w:rsidRPr="002618A2" w:rsidTr="00090508">
        <w:tc>
          <w:tcPr>
            <w:tcW w:w="4478" w:type="dxa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6 172 982,45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1 232 828,91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1 214 784,66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1 251 216,92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1 211 701,73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rPr>
                <w:rFonts w:cs="Times New Roman"/>
              </w:rPr>
            </w:pPr>
          </w:p>
        </w:tc>
      </w:tr>
      <w:tr w:rsidR="00481D9B" w:rsidRPr="002618A2" w:rsidTr="00090508">
        <w:tc>
          <w:tcPr>
            <w:tcW w:w="4478" w:type="dxa"/>
            <w:vAlign w:val="center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408 100,46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91 026,43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95 231,56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481D9B" w:rsidRPr="002618A2" w:rsidTr="00090508">
        <w:tc>
          <w:tcPr>
            <w:tcW w:w="4478" w:type="dxa"/>
            <w:vAlign w:val="center"/>
          </w:tcPr>
          <w:p w:rsidR="00481D9B" w:rsidRPr="00310E1D" w:rsidRDefault="00481D9B" w:rsidP="00481D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7 864 822,69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1 615 377,83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1 554 671,75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1 552 171,58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1 552 860,39</w:t>
            </w:r>
          </w:p>
        </w:tc>
        <w:tc>
          <w:tcPr>
            <w:tcW w:w="2287" w:type="dxa"/>
            <w:vMerge w:val="restart"/>
          </w:tcPr>
          <w:p w:rsidR="00481D9B" w:rsidRPr="004C5177" w:rsidRDefault="004C5177" w:rsidP="00481D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481D9B" w:rsidRPr="002618A2" w:rsidTr="00090508">
        <w:tc>
          <w:tcPr>
            <w:tcW w:w="4478" w:type="dxa"/>
            <w:vAlign w:val="center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1 356 614,78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298 067,49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251 200,53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1D9B" w:rsidRPr="002618A2" w:rsidTr="00090508">
        <w:tc>
          <w:tcPr>
            <w:tcW w:w="4478" w:type="dxa"/>
            <w:vAlign w:val="center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6 100 107,45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1 226 283,91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1 208 239,66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1 204 467,92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1 205 156,73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rPr>
                <w:rFonts w:cs="Times New Roman"/>
              </w:rPr>
            </w:pPr>
          </w:p>
        </w:tc>
      </w:tr>
      <w:tr w:rsidR="00481D9B" w:rsidRPr="002618A2" w:rsidTr="00090508">
        <w:tc>
          <w:tcPr>
            <w:tcW w:w="4478" w:type="dxa"/>
            <w:vAlign w:val="center"/>
          </w:tcPr>
          <w:p w:rsidR="00481D9B" w:rsidRPr="002618A2" w:rsidRDefault="00481D9B" w:rsidP="00481D9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408 100,46</w:t>
            </w:r>
          </w:p>
        </w:tc>
        <w:tc>
          <w:tcPr>
            <w:tcW w:w="122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91 026,43</w:t>
            </w:r>
          </w:p>
        </w:tc>
        <w:tc>
          <w:tcPr>
            <w:tcW w:w="1276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95 231,56</w:t>
            </w:r>
          </w:p>
        </w:tc>
        <w:tc>
          <w:tcPr>
            <w:tcW w:w="1275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1332" w:type="dxa"/>
            <w:vAlign w:val="center"/>
          </w:tcPr>
          <w:p w:rsidR="00481D9B" w:rsidRPr="00481D9B" w:rsidRDefault="00481D9B" w:rsidP="00481D9B">
            <w:pPr>
              <w:jc w:val="center"/>
              <w:rPr>
                <w:sz w:val="20"/>
                <w:szCs w:val="20"/>
              </w:rPr>
            </w:pPr>
            <w:r w:rsidRPr="00481D9B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481D9B" w:rsidRPr="002618A2" w:rsidRDefault="00481D9B" w:rsidP="00481D9B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9D6440" w:rsidRDefault="00A3661B" w:rsidP="00A36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57 682,56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53 821,00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4C5177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17 478,56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13 617,00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2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332" w:type="dxa"/>
            <w:vAlign w:val="center"/>
          </w:tcPr>
          <w:p w:rsidR="00A3661B" w:rsidRPr="003F5866" w:rsidRDefault="00A3661B" w:rsidP="00A3661B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310E1D" w:rsidRDefault="00A3661B" w:rsidP="00A3661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A36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96870" w:rsidRPr="00FE0B2D" w:rsidTr="00D813D5">
        <w:tc>
          <w:tcPr>
            <w:tcW w:w="567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96870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6 908 752,41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1 411 929,34</w:t>
            </w:r>
          </w:p>
        </w:tc>
        <w:tc>
          <w:tcPr>
            <w:tcW w:w="1134" w:type="dxa"/>
            <w:vAlign w:val="center"/>
          </w:tcPr>
          <w:p w:rsidR="00396870" w:rsidRPr="00B048AE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1 354 834,64</w:t>
            </w:r>
          </w:p>
        </w:tc>
        <w:tc>
          <w:tcPr>
            <w:tcW w:w="1134" w:type="dxa"/>
            <w:vAlign w:val="center"/>
          </w:tcPr>
          <w:p w:rsidR="00396870" w:rsidRPr="00B048AE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1 356 945,77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134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96870" w:rsidRPr="00FE0B2D" w:rsidTr="00D813D5">
        <w:tc>
          <w:tcPr>
            <w:tcW w:w="567" w:type="dxa"/>
            <w:vMerge/>
          </w:tcPr>
          <w:p w:rsidR="00396870" w:rsidRPr="00FE0B2D" w:rsidRDefault="00396870" w:rsidP="003968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sz w:val="16"/>
                <w:szCs w:val="16"/>
              </w:rPr>
            </w:pPr>
            <w:r w:rsidRPr="00396870">
              <w:rPr>
                <w:sz w:val="16"/>
                <w:szCs w:val="16"/>
              </w:rPr>
              <w:t>923 120,41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206 670,34</w:t>
            </w:r>
          </w:p>
        </w:tc>
        <w:tc>
          <w:tcPr>
            <w:tcW w:w="1134" w:type="dxa"/>
            <w:vAlign w:val="center"/>
          </w:tcPr>
          <w:p w:rsidR="00396870" w:rsidRPr="00B048AE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160 650,64</w:t>
            </w:r>
          </w:p>
        </w:tc>
        <w:tc>
          <w:tcPr>
            <w:tcW w:w="1134" w:type="dxa"/>
            <w:vAlign w:val="center"/>
          </w:tcPr>
          <w:p w:rsidR="00396870" w:rsidRPr="00B048AE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048AE">
              <w:rPr>
                <w:color w:val="000000"/>
                <w:sz w:val="16"/>
                <w:szCs w:val="16"/>
              </w:rPr>
              <w:t>162 761,77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134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870" w:rsidRPr="00FE0B2D" w:rsidTr="00D813D5">
        <w:tc>
          <w:tcPr>
            <w:tcW w:w="567" w:type="dxa"/>
            <w:vMerge/>
          </w:tcPr>
          <w:p w:rsidR="00396870" w:rsidRPr="00FE0B2D" w:rsidRDefault="00396870" w:rsidP="003968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sz w:val="16"/>
                <w:szCs w:val="16"/>
              </w:rPr>
            </w:pPr>
            <w:r w:rsidRPr="00396870">
              <w:rPr>
                <w:sz w:val="16"/>
                <w:szCs w:val="16"/>
              </w:rPr>
              <w:t>5 767 262,00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1 154 872,00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0C311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870" w:rsidRPr="00FE0B2D" w:rsidTr="00D813D5">
        <w:tc>
          <w:tcPr>
            <w:tcW w:w="567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396870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5 703 457,00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1 141 520,00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396870" w:rsidRPr="00FE0B2D" w:rsidTr="00D813D5">
        <w:tc>
          <w:tcPr>
            <w:tcW w:w="567" w:type="dxa"/>
            <w:vMerge/>
          </w:tcPr>
          <w:p w:rsidR="00396870" w:rsidRPr="00FE0B2D" w:rsidRDefault="00396870" w:rsidP="003968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sz w:val="16"/>
                <w:szCs w:val="16"/>
              </w:rPr>
            </w:pPr>
            <w:r w:rsidRPr="003968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870" w:rsidRPr="00FE0B2D" w:rsidTr="00D813D5">
        <w:tc>
          <w:tcPr>
            <w:tcW w:w="567" w:type="dxa"/>
            <w:vMerge/>
          </w:tcPr>
          <w:p w:rsidR="00396870" w:rsidRPr="00FE0B2D" w:rsidRDefault="00396870" w:rsidP="003968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6870" w:rsidRPr="00FE0B2D" w:rsidRDefault="00396870" w:rsidP="003968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sz w:val="16"/>
                <w:szCs w:val="16"/>
              </w:rPr>
            </w:pPr>
            <w:r w:rsidRPr="00396870">
              <w:rPr>
                <w:sz w:val="16"/>
                <w:szCs w:val="16"/>
              </w:rPr>
              <w:lastRenderedPageBreak/>
              <w:t>5 703 457,00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1 141 520,00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396870" w:rsidRPr="007529AD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9E62D1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64 705,00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14 252,00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F438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438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438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438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sz w:val="16"/>
                <w:szCs w:val="16"/>
              </w:rPr>
            </w:pPr>
            <w:r w:rsidRPr="00F43829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43829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F438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F43829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438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63 805,00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9E62D1" w:rsidRPr="007529AD" w:rsidRDefault="009E62D1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/>
          </w:tcPr>
          <w:p w:rsidR="009E62D1" w:rsidRPr="00FE0B2D" w:rsidRDefault="009E62D1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870" w:rsidRPr="00FE0B2D" w:rsidTr="00D813D5">
        <w:tc>
          <w:tcPr>
            <w:tcW w:w="567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396870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912 041,60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203 129,41</w:t>
            </w:r>
          </w:p>
        </w:tc>
        <w:tc>
          <w:tcPr>
            <w:tcW w:w="1134" w:type="dxa"/>
            <w:vAlign w:val="center"/>
          </w:tcPr>
          <w:p w:rsidR="00396870" w:rsidRPr="00B966DB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1134" w:type="dxa"/>
            <w:vAlign w:val="center"/>
          </w:tcPr>
          <w:p w:rsidR="00396870" w:rsidRPr="00B966DB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 w:val="restart"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396870" w:rsidRPr="00FE0B2D" w:rsidTr="00D813D5">
        <w:tc>
          <w:tcPr>
            <w:tcW w:w="567" w:type="dxa"/>
            <w:vMerge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6870" w:rsidRPr="00FE0B2D" w:rsidRDefault="00396870" w:rsidP="0039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sz w:val="16"/>
                <w:szCs w:val="16"/>
              </w:rPr>
            </w:pPr>
            <w:r w:rsidRPr="00396870">
              <w:rPr>
                <w:sz w:val="16"/>
                <w:szCs w:val="16"/>
              </w:rPr>
              <w:t>912 041,60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396870" w:rsidRPr="00396870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396870">
              <w:rPr>
                <w:color w:val="000000"/>
                <w:sz w:val="16"/>
                <w:szCs w:val="16"/>
              </w:rPr>
              <w:t>203 129,41</w:t>
            </w:r>
          </w:p>
        </w:tc>
        <w:tc>
          <w:tcPr>
            <w:tcW w:w="1134" w:type="dxa"/>
            <w:vAlign w:val="center"/>
          </w:tcPr>
          <w:p w:rsidR="00396870" w:rsidRPr="00B966DB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159 132,41</w:t>
            </w:r>
          </w:p>
        </w:tc>
        <w:tc>
          <w:tcPr>
            <w:tcW w:w="1134" w:type="dxa"/>
            <w:vAlign w:val="center"/>
          </w:tcPr>
          <w:p w:rsidR="00396870" w:rsidRPr="00B966DB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161 786,77</w:t>
            </w:r>
          </w:p>
        </w:tc>
        <w:tc>
          <w:tcPr>
            <w:tcW w:w="1134" w:type="dxa"/>
            <w:vAlign w:val="center"/>
          </w:tcPr>
          <w:p w:rsidR="00396870" w:rsidRPr="00062BA7" w:rsidRDefault="00396870" w:rsidP="00396870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6870" w:rsidRPr="00FE0B2D" w:rsidRDefault="00396870" w:rsidP="00396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9E62D1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5 303,81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1 665,93</w:t>
            </w:r>
          </w:p>
        </w:tc>
        <w:tc>
          <w:tcPr>
            <w:tcW w:w="1134" w:type="dxa"/>
            <w:vAlign w:val="center"/>
          </w:tcPr>
          <w:p w:rsidR="009E62D1" w:rsidRPr="00B966DB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sz w:val="16"/>
                <w:szCs w:val="16"/>
              </w:rPr>
            </w:pPr>
            <w:r w:rsidRPr="00734A0C">
              <w:rPr>
                <w:sz w:val="16"/>
                <w:szCs w:val="16"/>
              </w:rPr>
              <w:t>5 303,81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9E62D1" w:rsidRPr="00734A0C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734A0C">
              <w:rPr>
                <w:color w:val="000000"/>
                <w:sz w:val="16"/>
                <w:szCs w:val="16"/>
              </w:rPr>
              <w:t>1 665,93</w:t>
            </w:r>
          </w:p>
        </w:tc>
        <w:tc>
          <w:tcPr>
            <w:tcW w:w="1134" w:type="dxa"/>
            <w:vAlign w:val="center"/>
          </w:tcPr>
          <w:p w:rsidR="009E62D1" w:rsidRPr="00B966DB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B966DB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734A0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34A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734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9E62D1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9E62D1" w:rsidRPr="00E5285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0E3" w:rsidRPr="00FE0B2D" w:rsidTr="00D813D5">
        <w:tc>
          <w:tcPr>
            <w:tcW w:w="567" w:type="dxa"/>
            <w:vMerge w:val="restart"/>
          </w:tcPr>
          <w:p w:rsidR="002030E3" w:rsidRPr="00FE0B2D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2030E3" w:rsidRPr="00BE6A68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2030E3" w:rsidRPr="00FE0B2D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30E3">
              <w:rPr>
                <w:sz w:val="16"/>
                <w:szCs w:val="16"/>
              </w:rPr>
              <w:t>969 525,13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197 385,27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203 773,89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201 770,81</w:t>
            </w:r>
          </w:p>
        </w:tc>
        <w:tc>
          <w:tcPr>
            <w:tcW w:w="1134" w:type="dxa"/>
            <w:vAlign w:val="center"/>
          </w:tcPr>
          <w:p w:rsidR="002030E3" w:rsidRPr="005054E2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134" w:type="dxa"/>
            <w:vMerge w:val="restart"/>
          </w:tcPr>
          <w:p w:rsidR="002030E3" w:rsidRPr="00FE0B2D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2030E3" w:rsidRPr="00FE0B2D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030E3" w:rsidRPr="00FE0B2D" w:rsidTr="00D813D5">
        <w:tc>
          <w:tcPr>
            <w:tcW w:w="567" w:type="dxa"/>
            <w:vMerge/>
          </w:tcPr>
          <w:p w:rsidR="002030E3" w:rsidRPr="00FE0B2D" w:rsidRDefault="002030E3" w:rsidP="002030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030E3" w:rsidRPr="00FE0B2D" w:rsidRDefault="002030E3" w:rsidP="00203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030E3" w:rsidRPr="00FE0B2D" w:rsidRDefault="002030E3" w:rsidP="00203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sz w:val="16"/>
                <w:szCs w:val="16"/>
              </w:rPr>
            </w:pPr>
            <w:r w:rsidRPr="002030E3">
              <w:rPr>
                <w:sz w:val="16"/>
                <w:szCs w:val="16"/>
              </w:rPr>
              <w:t>418 416,22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80 857,93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90 010,67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90 832,62</w:t>
            </w:r>
          </w:p>
        </w:tc>
        <w:tc>
          <w:tcPr>
            <w:tcW w:w="1134" w:type="dxa"/>
            <w:vAlign w:val="center"/>
          </w:tcPr>
          <w:p w:rsidR="002030E3" w:rsidRPr="005054E2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134" w:type="dxa"/>
            <w:vMerge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0E3" w:rsidRPr="00FE0B2D" w:rsidTr="00D813D5">
        <w:tc>
          <w:tcPr>
            <w:tcW w:w="567" w:type="dxa"/>
            <w:vMerge/>
          </w:tcPr>
          <w:p w:rsidR="002030E3" w:rsidRPr="00FE0B2D" w:rsidRDefault="002030E3" w:rsidP="002030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030E3" w:rsidRPr="00FE0B2D" w:rsidRDefault="002030E3" w:rsidP="00203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030E3" w:rsidRPr="00FE0B2D" w:rsidRDefault="002030E3" w:rsidP="00203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sz w:val="16"/>
                <w:szCs w:val="16"/>
              </w:rPr>
            </w:pPr>
            <w:r w:rsidRPr="002030E3">
              <w:rPr>
                <w:sz w:val="16"/>
                <w:szCs w:val="16"/>
              </w:rPr>
              <w:t>363 731,57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77 064,47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70 095,22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67 215,92</w:t>
            </w:r>
          </w:p>
        </w:tc>
        <w:tc>
          <w:tcPr>
            <w:tcW w:w="1134" w:type="dxa"/>
            <w:vAlign w:val="center"/>
          </w:tcPr>
          <w:p w:rsidR="002030E3" w:rsidRPr="005054E2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134" w:type="dxa"/>
            <w:vMerge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0E3" w:rsidRPr="00FE0B2D" w:rsidTr="00D813D5">
        <w:trPr>
          <w:trHeight w:val="787"/>
        </w:trPr>
        <w:tc>
          <w:tcPr>
            <w:tcW w:w="567" w:type="dxa"/>
            <w:vMerge/>
          </w:tcPr>
          <w:p w:rsidR="002030E3" w:rsidRPr="00FE0B2D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030E3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030E3" w:rsidRDefault="002030E3" w:rsidP="002030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030E3" w:rsidRPr="00FE0B2D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sz w:val="16"/>
                <w:szCs w:val="16"/>
              </w:rPr>
            </w:pPr>
            <w:r w:rsidRPr="002030E3">
              <w:rPr>
                <w:sz w:val="16"/>
                <w:szCs w:val="16"/>
              </w:rPr>
              <w:t>187 377,34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39 462,87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1134" w:type="dxa"/>
            <w:vAlign w:val="center"/>
          </w:tcPr>
          <w:p w:rsidR="002030E3" w:rsidRPr="002030E3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2030E3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Align w:val="center"/>
          </w:tcPr>
          <w:p w:rsidR="002030E3" w:rsidRPr="005054E2" w:rsidRDefault="002030E3" w:rsidP="002030E3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2030E3" w:rsidRPr="00BE6A68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30E3" w:rsidRPr="00BE6A68" w:rsidRDefault="002030E3" w:rsidP="002030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lastRenderedPageBreak/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E62D1" w:rsidRDefault="009E62D1" w:rsidP="00F15B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A5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9E62D1" w:rsidRPr="00FE0B2D" w:rsidRDefault="009E62D1" w:rsidP="00F15B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4 756,00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2 656,00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1 220,00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3 536,00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E62D1" w:rsidRDefault="009E62D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644"/>
        </w:trPr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705"/>
        </w:trPr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162BB" w:rsidRPr="00FE0B2D" w:rsidTr="00D813D5">
        <w:tc>
          <w:tcPr>
            <w:tcW w:w="567" w:type="dxa"/>
            <w:vMerge w:val="restart"/>
          </w:tcPr>
          <w:p w:rsidR="004162BB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5" w:type="dxa"/>
            <w:vMerge w:val="restart"/>
          </w:tcPr>
          <w:p w:rsidR="004162BB" w:rsidRPr="00F92516" w:rsidRDefault="004162BB" w:rsidP="004162B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  <w:p w:rsidR="004162BB" w:rsidRPr="000C0BA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162BB" w:rsidRPr="00FE0B2D" w:rsidRDefault="004162BB" w:rsidP="004162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4162BB" w:rsidRPr="00460E72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338 324,52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73 079,39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77 978,56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78 075,48</w:t>
            </w:r>
          </w:p>
        </w:tc>
        <w:tc>
          <w:tcPr>
            <w:tcW w:w="1134" w:type="dxa"/>
            <w:vAlign w:val="center"/>
          </w:tcPr>
          <w:p w:rsidR="004162BB" w:rsidRPr="0074675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134" w:type="dxa"/>
            <w:vMerge w:val="restart"/>
          </w:tcPr>
          <w:p w:rsidR="004162BB" w:rsidRPr="000C3112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4162BB" w:rsidRPr="007D1D7A" w:rsidRDefault="004162BB" w:rsidP="004162B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162BB" w:rsidRPr="00FE0B2D" w:rsidTr="00D813D5">
        <w:tc>
          <w:tcPr>
            <w:tcW w:w="567" w:type="dxa"/>
            <w:vMerge/>
          </w:tcPr>
          <w:p w:rsidR="004162BB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F92516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Default="004162BB" w:rsidP="004162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460E72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35 602,77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7 839,05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8 137,34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9 379,29</w:t>
            </w:r>
          </w:p>
        </w:tc>
        <w:tc>
          <w:tcPr>
            <w:tcW w:w="1134" w:type="dxa"/>
            <w:vAlign w:val="center"/>
          </w:tcPr>
          <w:p w:rsidR="004162BB" w:rsidRPr="0074675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134" w:type="dxa"/>
            <w:vMerge/>
          </w:tcPr>
          <w:p w:rsidR="004162BB" w:rsidRPr="000C3112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62BB" w:rsidRPr="00F92516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162BB" w:rsidRPr="00FE0B2D" w:rsidTr="00D813D5">
        <w:tc>
          <w:tcPr>
            <w:tcW w:w="567" w:type="dxa"/>
            <w:vMerge/>
          </w:tcPr>
          <w:p w:rsidR="004162BB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0C0BA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Pr="000C0BAB" w:rsidRDefault="004162BB" w:rsidP="004162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460E72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115 344,41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25 777,47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26 173,22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24 973,92</w:t>
            </w:r>
          </w:p>
        </w:tc>
        <w:tc>
          <w:tcPr>
            <w:tcW w:w="1134" w:type="dxa"/>
            <w:vAlign w:val="center"/>
          </w:tcPr>
          <w:p w:rsidR="004162BB" w:rsidRPr="0074675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134" w:type="dxa"/>
            <w:vMerge/>
          </w:tcPr>
          <w:p w:rsidR="004162BB" w:rsidRPr="000C3112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62BB" w:rsidRPr="007D1D7A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162BB" w:rsidRPr="00FE0B2D" w:rsidTr="00D813D5">
        <w:trPr>
          <w:trHeight w:val="584"/>
        </w:trPr>
        <w:tc>
          <w:tcPr>
            <w:tcW w:w="567" w:type="dxa"/>
            <w:vMerge/>
          </w:tcPr>
          <w:p w:rsidR="004162BB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0C0BAB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Pr="000C0BAB" w:rsidRDefault="004162BB" w:rsidP="004162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460E72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187 377,34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39 462,87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43 668,00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4162B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Align w:val="center"/>
          </w:tcPr>
          <w:p w:rsidR="004162BB" w:rsidRPr="0074675B" w:rsidRDefault="004162BB" w:rsidP="004162B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4162BB" w:rsidRPr="000C3112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62BB" w:rsidRPr="007D1D7A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9E62D1" w:rsidRPr="0073440E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461 999,87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113 965,88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73440E" w:rsidRDefault="009E62D1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314 426,87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71 680,88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Merge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73440E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73440E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62D1" w:rsidRPr="000C0BAB" w:rsidRDefault="009E62D1" w:rsidP="005757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73440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187 932,00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отдельных категорий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40 359,00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Align w:val="center"/>
          </w:tcPr>
          <w:p w:rsidR="009E62D1" w:rsidRPr="0073440E" w:rsidRDefault="009E62D1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9E62D1" w:rsidRPr="000C3112" w:rsidRDefault="009E62D1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9E62D1" w:rsidRPr="0073440E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9E62D1" w:rsidRPr="0073440E" w:rsidRDefault="009E62D1" w:rsidP="00DA4A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274 067,87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DA4A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DA4A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sz w:val="16"/>
                <w:szCs w:val="16"/>
              </w:rPr>
            </w:pPr>
            <w:r w:rsidRPr="00DA4A1F">
              <w:rPr>
                <w:sz w:val="16"/>
                <w:szCs w:val="16"/>
              </w:rPr>
              <w:t>274 067,87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A4A1F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DA4A1F">
              <w:rPr>
                <w:color w:val="000000"/>
                <w:sz w:val="16"/>
                <w:szCs w:val="16"/>
              </w:rPr>
              <w:t>66 982,88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DA4A1F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:rsidR="009E62D1" w:rsidRPr="000C3112" w:rsidRDefault="009E62D1" w:rsidP="00DA4A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A4A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E62D1" w:rsidRPr="000C0BAB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E62D1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8F64FC" w:rsidRDefault="008F64FC" w:rsidP="00995810">
            <w:pPr>
              <w:rPr>
                <w:rFonts w:cs="Times New Roman"/>
                <w:sz w:val="16"/>
                <w:szCs w:val="16"/>
              </w:rPr>
            </w:pPr>
          </w:p>
          <w:p w:rsidR="008F64FC" w:rsidRDefault="008F64FC" w:rsidP="00995810">
            <w:pPr>
              <w:rPr>
                <w:rFonts w:cs="Times New Roman"/>
                <w:sz w:val="16"/>
                <w:szCs w:val="16"/>
              </w:rPr>
            </w:pPr>
          </w:p>
          <w:p w:rsidR="008F64FC" w:rsidRDefault="008F64FC" w:rsidP="00995810">
            <w:pPr>
              <w:rPr>
                <w:rFonts w:cs="Times New Roman"/>
                <w:sz w:val="16"/>
                <w:szCs w:val="16"/>
              </w:rPr>
            </w:pPr>
          </w:p>
          <w:p w:rsidR="008F64FC" w:rsidRPr="007D1D7A" w:rsidRDefault="008F64FC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283"/>
        </w:trPr>
        <w:tc>
          <w:tcPr>
            <w:tcW w:w="567" w:type="dxa"/>
            <w:vMerge w:val="restart"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539"/>
        </w:trPr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61B4B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9E62D1" w:rsidRDefault="009E62D1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07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A07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07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A07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41 988,88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076C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E62D1" w:rsidRDefault="009E62D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 w:rsidR="00054404"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9E62D1" w:rsidRDefault="009E62D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8C2590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03A91" w:rsidRDefault="009E62D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 w:val="restart"/>
          </w:tcPr>
          <w:p w:rsidR="009E62D1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62D1" w:rsidRDefault="009E62D1" w:rsidP="00DB38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9E62D1" w:rsidRPr="00234C65" w:rsidRDefault="009E62D1" w:rsidP="00DB3812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9E62D1" w:rsidRDefault="009E62D1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E62D1" w:rsidRPr="00FE0B2D" w:rsidRDefault="009E62D1" w:rsidP="00DB38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7D1D7A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DB38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DB381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DB38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7D1D7A" w:rsidTr="00D813D5">
        <w:tc>
          <w:tcPr>
            <w:tcW w:w="567" w:type="dxa"/>
            <w:vMerge/>
          </w:tcPr>
          <w:p w:rsidR="009E62D1" w:rsidRDefault="009E62D1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9E62D1" w:rsidRPr="00E853B7" w:rsidRDefault="009E62D1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lastRenderedPageBreak/>
              <w:t>2 353,12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3916E6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DB3812" w:rsidRDefault="009E62D1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162BB" w:rsidRPr="00FE0B2D" w:rsidTr="00D813D5">
        <w:tc>
          <w:tcPr>
            <w:tcW w:w="567" w:type="dxa"/>
            <w:vMerge w:val="restart"/>
          </w:tcPr>
          <w:p w:rsidR="004162BB" w:rsidRPr="00FE0B2D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7 955 176,25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1 621 922,83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1 561 216,75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1 612 537,58</w:t>
            </w:r>
          </w:p>
        </w:tc>
        <w:tc>
          <w:tcPr>
            <w:tcW w:w="1134" w:type="dxa"/>
            <w:vAlign w:val="center"/>
          </w:tcPr>
          <w:p w:rsidR="004162BB" w:rsidRPr="00DB3812" w:rsidRDefault="004162BB" w:rsidP="004162BB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1 559 405,39</w:t>
            </w:r>
          </w:p>
        </w:tc>
        <w:tc>
          <w:tcPr>
            <w:tcW w:w="2977" w:type="dxa"/>
            <w:gridSpan w:val="2"/>
            <w:vMerge w:val="restart"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2BB" w:rsidRPr="00FE0B2D" w:rsidTr="00D813D5">
        <w:tc>
          <w:tcPr>
            <w:tcW w:w="567" w:type="dxa"/>
            <w:vMerge/>
          </w:tcPr>
          <w:p w:rsidR="004162BB" w:rsidRPr="00FE0B2D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1 374 093,34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298 067,49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251 200,53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267 211,39</w:t>
            </w:r>
          </w:p>
        </w:tc>
        <w:tc>
          <w:tcPr>
            <w:tcW w:w="1134" w:type="dxa"/>
            <w:vAlign w:val="center"/>
          </w:tcPr>
          <w:p w:rsidR="004162BB" w:rsidRPr="00DB3812" w:rsidRDefault="004162BB" w:rsidP="004162BB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253 594,39</w:t>
            </w:r>
          </w:p>
        </w:tc>
        <w:tc>
          <w:tcPr>
            <w:tcW w:w="2977" w:type="dxa"/>
            <w:gridSpan w:val="2"/>
            <w:vMerge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2BB" w:rsidRPr="00FE0B2D" w:rsidTr="00D813D5">
        <w:tc>
          <w:tcPr>
            <w:tcW w:w="567" w:type="dxa"/>
            <w:vMerge/>
          </w:tcPr>
          <w:p w:rsidR="004162BB" w:rsidRPr="00FE0B2D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6 172 982,45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1 232 828,91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1 214 784,66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1 251 216,92</w:t>
            </w:r>
          </w:p>
        </w:tc>
        <w:tc>
          <w:tcPr>
            <w:tcW w:w="1134" w:type="dxa"/>
            <w:vAlign w:val="center"/>
          </w:tcPr>
          <w:p w:rsidR="004162BB" w:rsidRPr="001B2387" w:rsidRDefault="004162BB" w:rsidP="004162BB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1 211 701,73</w:t>
            </w:r>
          </w:p>
        </w:tc>
        <w:tc>
          <w:tcPr>
            <w:tcW w:w="2977" w:type="dxa"/>
            <w:gridSpan w:val="2"/>
            <w:vMerge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2BB" w:rsidRPr="00FE0B2D" w:rsidTr="00D813D5">
        <w:trPr>
          <w:trHeight w:val="421"/>
        </w:trPr>
        <w:tc>
          <w:tcPr>
            <w:tcW w:w="567" w:type="dxa"/>
            <w:vMerge/>
          </w:tcPr>
          <w:p w:rsidR="004162BB" w:rsidRPr="00FE0B2D" w:rsidRDefault="004162BB" w:rsidP="004162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62BB" w:rsidRPr="00FE0B2D" w:rsidRDefault="004162BB" w:rsidP="004162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408 100,46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91 026,43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95 231,56</w:t>
            </w:r>
          </w:p>
        </w:tc>
        <w:tc>
          <w:tcPr>
            <w:tcW w:w="1134" w:type="dxa"/>
            <w:vAlign w:val="center"/>
          </w:tcPr>
          <w:p w:rsidR="004162BB" w:rsidRPr="004162BB" w:rsidRDefault="004162BB" w:rsidP="004162BB">
            <w:pPr>
              <w:jc w:val="center"/>
              <w:rPr>
                <w:sz w:val="16"/>
                <w:szCs w:val="16"/>
              </w:rPr>
            </w:pPr>
            <w:r w:rsidRPr="004162BB">
              <w:rPr>
                <w:sz w:val="16"/>
                <w:szCs w:val="16"/>
              </w:rPr>
              <w:t>94 109,27</w:t>
            </w:r>
          </w:p>
        </w:tc>
        <w:tc>
          <w:tcPr>
            <w:tcW w:w="1134" w:type="dxa"/>
            <w:vAlign w:val="center"/>
          </w:tcPr>
          <w:p w:rsidR="004162BB" w:rsidRPr="001B2387" w:rsidRDefault="004162BB" w:rsidP="004162BB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94 109,27</w:t>
            </w:r>
          </w:p>
        </w:tc>
        <w:tc>
          <w:tcPr>
            <w:tcW w:w="2977" w:type="dxa"/>
            <w:gridSpan w:val="2"/>
            <w:vMerge/>
          </w:tcPr>
          <w:p w:rsidR="004162BB" w:rsidRPr="00FE0B2D" w:rsidRDefault="004162BB" w:rsidP="004162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AD535B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85958" w:rsidRDefault="009E62D1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4074F" w:rsidRDefault="0074074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F64FC" w:rsidRDefault="008F64FC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0B236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617 766,61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E62B76" w:rsidRPr="002618A2" w:rsidRDefault="00E62B76" w:rsidP="00E62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607 326,61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310E1D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9E62D1" w:rsidRPr="001B4EA7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2B0A7D" w:rsidTr="0079543A">
        <w:tc>
          <w:tcPr>
            <w:tcW w:w="567" w:type="dxa"/>
            <w:vMerge w:val="restart"/>
          </w:tcPr>
          <w:p w:rsidR="009E62D1" w:rsidRPr="004912BE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B0A7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B0A7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lastRenderedPageBreak/>
              <w:t>398 583,22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Pr="004912BE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9E62D1" w:rsidRPr="00AE5013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E62D1" w:rsidRDefault="009E62D1" w:rsidP="00E11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9E62D1" w:rsidRPr="007F5C57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9E62D1" w:rsidRPr="00E11B78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25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6254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86 136,08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6254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sz w:val="16"/>
                <w:szCs w:val="16"/>
              </w:rPr>
            </w:pPr>
            <w:r w:rsidRPr="00625454">
              <w:rPr>
                <w:sz w:val="16"/>
                <w:szCs w:val="16"/>
              </w:rPr>
              <w:t>86 136,08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9E62D1" w:rsidRPr="00625454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254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88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9E62D1" w:rsidRDefault="009E62D1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9E62D1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rPr>
          <w:trHeight w:val="580"/>
        </w:trPr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617 766,61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lastRenderedPageBreak/>
              <w:t>607 326,61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8B5699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D0178B" w:rsidRPr="002618A2" w:rsidTr="009F716F">
        <w:tc>
          <w:tcPr>
            <w:tcW w:w="4478" w:type="dxa"/>
          </w:tcPr>
          <w:p w:rsidR="00D0178B" w:rsidRPr="002618A2" w:rsidRDefault="00D0178B" w:rsidP="00D0178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D0178B" w:rsidRPr="00D0178B" w:rsidRDefault="00D0178B" w:rsidP="00D017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366 743,90</w:t>
            </w:r>
          </w:p>
        </w:tc>
        <w:tc>
          <w:tcPr>
            <w:tcW w:w="1226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70 923,78</w:t>
            </w:r>
          </w:p>
        </w:tc>
        <w:tc>
          <w:tcPr>
            <w:tcW w:w="1276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 w:val="restart"/>
          </w:tcPr>
          <w:p w:rsidR="00D0178B" w:rsidRPr="002618A2" w:rsidRDefault="00D0178B" w:rsidP="00D0178B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D0178B" w:rsidRPr="002618A2" w:rsidTr="009F716F">
        <w:tc>
          <w:tcPr>
            <w:tcW w:w="4478" w:type="dxa"/>
          </w:tcPr>
          <w:p w:rsidR="00D0178B" w:rsidRPr="002618A2" w:rsidRDefault="00D0178B" w:rsidP="00D0178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366 743,90</w:t>
            </w:r>
          </w:p>
        </w:tc>
        <w:tc>
          <w:tcPr>
            <w:tcW w:w="1226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20"/>
                <w:szCs w:val="20"/>
              </w:rPr>
            </w:pPr>
            <w:r w:rsidRPr="00D0178B">
              <w:rPr>
                <w:sz w:val="20"/>
                <w:szCs w:val="20"/>
              </w:rPr>
              <w:t>70 923,78</w:t>
            </w:r>
          </w:p>
        </w:tc>
        <w:tc>
          <w:tcPr>
            <w:tcW w:w="1276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D0178B" w:rsidRPr="0089520D" w:rsidRDefault="00D0178B" w:rsidP="00D0178B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/>
          </w:tcPr>
          <w:p w:rsidR="00D0178B" w:rsidRPr="002618A2" w:rsidRDefault="00D0178B" w:rsidP="00D0178B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9F716F">
        <w:tc>
          <w:tcPr>
            <w:tcW w:w="567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178B" w:rsidRPr="00FE0B2D" w:rsidTr="009F716F">
        <w:tc>
          <w:tcPr>
            <w:tcW w:w="567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0178B" w:rsidRPr="00C07434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366 743,90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70 923,78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0178B" w:rsidRPr="00FE0B2D" w:rsidTr="009F716F">
        <w:tc>
          <w:tcPr>
            <w:tcW w:w="567" w:type="dxa"/>
            <w:vMerge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366 743,90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70 923,78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D0178B" w:rsidRPr="00B553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9E62D1" w:rsidRPr="00FE0B2D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E62D1" w:rsidRPr="00FE0B2D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98 734,42</w:t>
            </w:r>
          </w:p>
        </w:tc>
        <w:tc>
          <w:tcPr>
            <w:tcW w:w="1209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B553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sz w:val="16"/>
                <w:szCs w:val="16"/>
              </w:rPr>
            </w:pPr>
            <w:r w:rsidRPr="00B55399">
              <w:rPr>
                <w:sz w:val="16"/>
                <w:szCs w:val="16"/>
              </w:rPr>
              <w:lastRenderedPageBreak/>
              <w:t>98 734,42</w:t>
            </w:r>
          </w:p>
        </w:tc>
        <w:tc>
          <w:tcPr>
            <w:tcW w:w="1209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9E62D1" w:rsidRPr="00B55399" w:rsidRDefault="009E62D1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/>
          </w:tcPr>
          <w:p w:rsidR="009E62D1" w:rsidRPr="00FE0B2D" w:rsidRDefault="009E62D1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8B" w:rsidRPr="00FE0B2D" w:rsidTr="009F716F">
        <w:tc>
          <w:tcPr>
            <w:tcW w:w="567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0178B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268 009,48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51 156,48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 w:val="restart"/>
          </w:tcPr>
          <w:p w:rsidR="00D0178B" w:rsidRPr="00FE0B2D" w:rsidRDefault="00D0178B" w:rsidP="00D017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0178B" w:rsidRPr="00FE0B2D" w:rsidTr="009F716F">
        <w:tc>
          <w:tcPr>
            <w:tcW w:w="567" w:type="dxa"/>
            <w:vMerge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268 009,48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D0178B">
              <w:rPr>
                <w:color w:val="000000"/>
                <w:sz w:val="16"/>
                <w:szCs w:val="16"/>
              </w:rPr>
              <w:t>51 156,48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8B" w:rsidRPr="00FE0B2D" w:rsidTr="009F716F">
        <w:tc>
          <w:tcPr>
            <w:tcW w:w="567" w:type="dxa"/>
            <w:vMerge w:val="restart"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366 743,90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70 923,78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 w:val="restart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78B" w:rsidRPr="00FE0B2D" w:rsidTr="009F716F">
        <w:tc>
          <w:tcPr>
            <w:tcW w:w="567" w:type="dxa"/>
            <w:vMerge/>
          </w:tcPr>
          <w:p w:rsidR="00D0178B" w:rsidRPr="00FE0B2D" w:rsidRDefault="00D0178B" w:rsidP="00D017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78B" w:rsidRPr="00FE0B2D" w:rsidRDefault="00D0178B" w:rsidP="00D017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366 743,90</w:t>
            </w:r>
          </w:p>
        </w:tc>
        <w:tc>
          <w:tcPr>
            <w:tcW w:w="1209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D0178B" w:rsidRPr="00D0178B" w:rsidRDefault="00D0178B" w:rsidP="00D0178B">
            <w:pPr>
              <w:jc w:val="center"/>
              <w:rPr>
                <w:sz w:val="16"/>
                <w:szCs w:val="16"/>
              </w:rPr>
            </w:pPr>
            <w:r w:rsidRPr="00D0178B">
              <w:rPr>
                <w:sz w:val="16"/>
                <w:szCs w:val="16"/>
              </w:rPr>
              <w:t>70 923,78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D0178B" w:rsidRPr="00EC6099" w:rsidRDefault="00D0178B" w:rsidP="00D0178B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/>
          </w:tcPr>
          <w:p w:rsidR="00D0178B" w:rsidRPr="00FE0B2D" w:rsidRDefault="00D0178B" w:rsidP="00D017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</w:t>
      </w:r>
      <w:r w:rsidR="009D4EBB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49" w:rsidRDefault="00465149" w:rsidP="00CA72CC">
      <w:r>
        <w:separator/>
      </w:r>
    </w:p>
  </w:endnote>
  <w:endnote w:type="continuationSeparator" w:id="0">
    <w:p w:rsidR="00465149" w:rsidRDefault="00465149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49" w:rsidRDefault="00465149" w:rsidP="00CA72CC">
      <w:r>
        <w:separator/>
      </w:r>
    </w:p>
  </w:footnote>
  <w:footnote w:type="continuationSeparator" w:id="0">
    <w:p w:rsidR="00465149" w:rsidRDefault="00465149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954359" w:rsidRDefault="009543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BB">
          <w:rPr>
            <w:noProof/>
          </w:rPr>
          <w:t>21</w:t>
        </w:r>
        <w:r>
          <w:fldChar w:fldCharType="end"/>
        </w:r>
      </w:p>
    </w:sdtContent>
  </w:sdt>
  <w:p w:rsidR="00954359" w:rsidRDefault="00954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50C91"/>
    <w:rsid w:val="00051044"/>
    <w:rsid w:val="0005141A"/>
    <w:rsid w:val="0005269D"/>
    <w:rsid w:val="00054404"/>
    <w:rsid w:val="00056A5C"/>
    <w:rsid w:val="00061B4B"/>
    <w:rsid w:val="00062BA7"/>
    <w:rsid w:val="000666E1"/>
    <w:rsid w:val="00067532"/>
    <w:rsid w:val="000730B6"/>
    <w:rsid w:val="000745C0"/>
    <w:rsid w:val="000751C8"/>
    <w:rsid w:val="00075952"/>
    <w:rsid w:val="00080EFF"/>
    <w:rsid w:val="00083664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A1AA5"/>
    <w:rsid w:val="000A38CF"/>
    <w:rsid w:val="000A5176"/>
    <w:rsid w:val="000A5CDE"/>
    <w:rsid w:val="000B2366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23F2"/>
    <w:rsid w:val="000F3D00"/>
    <w:rsid w:val="000F3DCC"/>
    <w:rsid w:val="000F4294"/>
    <w:rsid w:val="000F7D5B"/>
    <w:rsid w:val="00102CF2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6953"/>
    <w:rsid w:val="00183C5F"/>
    <w:rsid w:val="00183F39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B08A8"/>
    <w:rsid w:val="001B09B4"/>
    <w:rsid w:val="001B2387"/>
    <w:rsid w:val="001B2745"/>
    <w:rsid w:val="001B3934"/>
    <w:rsid w:val="001B4EA7"/>
    <w:rsid w:val="001B6A5B"/>
    <w:rsid w:val="001B6CF9"/>
    <w:rsid w:val="001C0361"/>
    <w:rsid w:val="001C0D22"/>
    <w:rsid w:val="001C165D"/>
    <w:rsid w:val="001C444E"/>
    <w:rsid w:val="001C4C74"/>
    <w:rsid w:val="001D013D"/>
    <w:rsid w:val="001D37F6"/>
    <w:rsid w:val="001D6DE8"/>
    <w:rsid w:val="001D7300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30E3"/>
    <w:rsid w:val="00203F60"/>
    <w:rsid w:val="00204F8E"/>
    <w:rsid w:val="00210B21"/>
    <w:rsid w:val="002122DA"/>
    <w:rsid w:val="00215797"/>
    <w:rsid w:val="00216D72"/>
    <w:rsid w:val="00217A70"/>
    <w:rsid w:val="00223B41"/>
    <w:rsid w:val="00225495"/>
    <w:rsid w:val="00227D76"/>
    <w:rsid w:val="0023011F"/>
    <w:rsid w:val="00233BA3"/>
    <w:rsid w:val="00234347"/>
    <w:rsid w:val="00234C65"/>
    <w:rsid w:val="00235200"/>
    <w:rsid w:val="0023682D"/>
    <w:rsid w:val="0024019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4D06"/>
    <w:rsid w:val="0026625F"/>
    <w:rsid w:val="00267AB6"/>
    <w:rsid w:val="002705D3"/>
    <w:rsid w:val="0027085E"/>
    <w:rsid w:val="00272629"/>
    <w:rsid w:val="002741EC"/>
    <w:rsid w:val="00274F3D"/>
    <w:rsid w:val="002762A2"/>
    <w:rsid w:val="00284A74"/>
    <w:rsid w:val="00285DFB"/>
    <w:rsid w:val="002863AD"/>
    <w:rsid w:val="00287264"/>
    <w:rsid w:val="00290259"/>
    <w:rsid w:val="002931E3"/>
    <w:rsid w:val="00294E1B"/>
    <w:rsid w:val="0029554C"/>
    <w:rsid w:val="002A20C7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7754"/>
    <w:rsid w:val="002E2313"/>
    <w:rsid w:val="002E3AB2"/>
    <w:rsid w:val="002F0D36"/>
    <w:rsid w:val="002F53BA"/>
    <w:rsid w:val="002F6605"/>
    <w:rsid w:val="002F6A7A"/>
    <w:rsid w:val="0030011F"/>
    <w:rsid w:val="003016C6"/>
    <w:rsid w:val="00302641"/>
    <w:rsid w:val="00307D75"/>
    <w:rsid w:val="00310D8B"/>
    <w:rsid w:val="00310E1D"/>
    <w:rsid w:val="00312507"/>
    <w:rsid w:val="003156F0"/>
    <w:rsid w:val="00315CCC"/>
    <w:rsid w:val="003168B1"/>
    <w:rsid w:val="0031707D"/>
    <w:rsid w:val="0032510C"/>
    <w:rsid w:val="00327455"/>
    <w:rsid w:val="003314A6"/>
    <w:rsid w:val="00335B3A"/>
    <w:rsid w:val="003360CD"/>
    <w:rsid w:val="003371BE"/>
    <w:rsid w:val="00341CAF"/>
    <w:rsid w:val="00343919"/>
    <w:rsid w:val="00343CD8"/>
    <w:rsid w:val="00346630"/>
    <w:rsid w:val="00346DF0"/>
    <w:rsid w:val="00351882"/>
    <w:rsid w:val="0035315C"/>
    <w:rsid w:val="0035360C"/>
    <w:rsid w:val="00356EA6"/>
    <w:rsid w:val="00357715"/>
    <w:rsid w:val="00360E56"/>
    <w:rsid w:val="00363375"/>
    <w:rsid w:val="0037017E"/>
    <w:rsid w:val="003709E1"/>
    <w:rsid w:val="00372B97"/>
    <w:rsid w:val="00377169"/>
    <w:rsid w:val="00381B31"/>
    <w:rsid w:val="003820C4"/>
    <w:rsid w:val="003842D2"/>
    <w:rsid w:val="00385A14"/>
    <w:rsid w:val="003916E6"/>
    <w:rsid w:val="00392035"/>
    <w:rsid w:val="003932A7"/>
    <w:rsid w:val="003937AD"/>
    <w:rsid w:val="00393FD2"/>
    <w:rsid w:val="00396870"/>
    <w:rsid w:val="003A02B6"/>
    <w:rsid w:val="003B094E"/>
    <w:rsid w:val="003B1837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74E4"/>
    <w:rsid w:val="003E0701"/>
    <w:rsid w:val="003E1C69"/>
    <w:rsid w:val="003E1FF0"/>
    <w:rsid w:val="003E2B3F"/>
    <w:rsid w:val="003E533C"/>
    <w:rsid w:val="003E5CC5"/>
    <w:rsid w:val="003E6B36"/>
    <w:rsid w:val="003E7149"/>
    <w:rsid w:val="003E7B20"/>
    <w:rsid w:val="003F1F66"/>
    <w:rsid w:val="003F5620"/>
    <w:rsid w:val="003F5866"/>
    <w:rsid w:val="00402413"/>
    <w:rsid w:val="0040334A"/>
    <w:rsid w:val="00404DE6"/>
    <w:rsid w:val="00407BA5"/>
    <w:rsid w:val="00410827"/>
    <w:rsid w:val="0041244D"/>
    <w:rsid w:val="00414D72"/>
    <w:rsid w:val="00415219"/>
    <w:rsid w:val="004162BB"/>
    <w:rsid w:val="00417FD1"/>
    <w:rsid w:val="004200A9"/>
    <w:rsid w:val="004239CA"/>
    <w:rsid w:val="00424497"/>
    <w:rsid w:val="004275E0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65149"/>
    <w:rsid w:val="00471CBA"/>
    <w:rsid w:val="00471E59"/>
    <w:rsid w:val="00472488"/>
    <w:rsid w:val="00474ACF"/>
    <w:rsid w:val="00474FF1"/>
    <w:rsid w:val="00480D59"/>
    <w:rsid w:val="00481D9B"/>
    <w:rsid w:val="00483CF7"/>
    <w:rsid w:val="00486443"/>
    <w:rsid w:val="00486FA6"/>
    <w:rsid w:val="00490945"/>
    <w:rsid w:val="004912BE"/>
    <w:rsid w:val="00496E6F"/>
    <w:rsid w:val="004A3D46"/>
    <w:rsid w:val="004A610B"/>
    <w:rsid w:val="004A7E29"/>
    <w:rsid w:val="004B570D"/>
    <w:rsid w:val="004B5FEA"/>
    <w:rsid w:val="004B6F6E"/>
    <w:rsid w:val="004C3B78"/>
    <w:rsid w:val="004C5177"/>
    <w:rsid w:val="004C547A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5420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1E55"/>
    <w:rsid w:val="005728ED"/>
    <w:rsid w:val="00575747"/>
    <w:rsid w:val="00575B22"/>
    <w:rsid w:val="00576118"/>
    <w:rsid w:val="005811AB"/>
    <w:rsid w:val="005835C7"/>
    <w:rsid w:val="00583CF0"/>
    <w:rsid w:val="00585ADA"/>
    <w:rsid w:val="00585C25"/>
    <w:rsid w:val="00585FFF"/>
    <w:rsid w:val="005865CD"/>
    <w:rsid w:val="0058660E"/>
    <w:rsid w:val="005875D0"/>
    <w:rsid w:val="005876B6"/>
    <w:rsid w:val="0059283D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E6F39"/>
    <w:rsid w:val="005F2398"/>
    <w:rsid w:val="005F3C23"/>
    <w:rsid w:val="005F551B"/>
    <w:rsid w:val="005F5D23"/>
    <w:rsid w:val="005F65FA"/>
    <w:rsid w:val="0060189D"/>
    <w:rsid w:val="00601C34"/>
    <w:rsid w:val="00607A6A"/>
    <w:rsid w:val="00611D4B"/>
    <w:rsid w:val="00612334"/>
    <w:rsid w:val="00613385"/>
    <w:rsid w:val="00615462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51D33"/>
    <w:rsid w:val="0065419C"/>
    <w:rsid w:val="00654DB5"/>
    <w:rsid w:val="00662420"/>
    <w:rsid w:val="006633BD"/>
    <w:rsid w:val="006650E9"/>
    <w:rsid w:val="00665767"/>
    <w:rsid w:val="00674ED7"/>
    <w:rsid w:val="00676422"/>
    <w:rsid w:val="00677181"/>
    <w:rsid w:val="006808AC"/>
    <w:rsid w:val="00680A00"/>
    <w:rsid w:val="00681CB4"/>
    <w:rsid w:val="006853D7"/>
    <w:rsid w:val="00685688"/>
    <w:rsid w:val="00687407"/>
    <w:rsid w:val="006920E8"/>
    <w:rsid w:val="00694560"/>
    <w:rsid w:val="00694C4C"/>
    <w:rsid w:val="00697614"/>
    <w:rsid w:val="006A0E79"/>
    <w:rsid w:val="006A190E"/>
    <w:rsid w:val="006A247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772C"/>
    <w:rsid w:val="006E23CF"/>
    <w:rsid w:val="006E29EC"/>
    <w:rsid w:val="006E6E88"/>
    <w:rsid w:val="006E6E95"/>
    <w:rsid w:val="006F2D06"/>
    <w:rsid w:val="006F7493"/>
    <w:rsid w:val="00700EB9"/>
    <w:rsid w:val="00701F48"/>
    <w:rsid w:val="007037E2"/>
    <w:rsid w:val="00704B01"/>
    <w:rsid w:val="007052C6"/>
    <w:rsid w:val="007100CB"/>
    <w:rsid w:val="0071366B"/>
    <w:rsid w:val="007256E4"/>
    <w:rsid w:val="0073208D"/>
    <w:rsid w:val="00734335"/>
    <w:rsid w:val="0073440E"/>
    <w:rsid w:val="00734A0C"/>
    <w:rsid w:val="00736787"/>
    <w:rsid w:val="00736CDB"/>
    <w:rsid w:val="0074074F"/>
    <w:rsid w:val="00742505"/>
    <w:rsid w:val="00743058"/>
    <w:rsid w:val="00745CD4"/>
    <w:rsid w:val="0074675B"/>
    <w:rsid w:val="007477AC"/>
    <w:rsid w:val="00750393"/>
    <w:rsid w:val="00750F52"/>
    <w:rsid w:val="007529AD"/>
    <w:rsid w:val="007541D8"/>
    <w:rsid w:val="0075435C"/>
    <w:rsid w:val="00756E0A"/>
    <w:rsid w:val="00756F6E"/>
    <w:rsid w:val="00761454"/>
    <w:rsid w:val="00763F3F"/>
    <w:rsid w:val="00763FAD"/>
    <w:rsid w:val="00765143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6774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28D4"/>
    <w:rsid w:val="007D7441"/>
    <w:rsid w:val="007D7E0B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BA1"/>
    <w:rsid w:val="00820EC8"/>
    <w:rsid w:val="00824C44"/>
    <w:rsid w:val="00824CEF"/>
    <w:rsid w:val="00827FDB"/>
    <w:rsid w:val="00835BBF"/>
    <w:rsid w:val="00837A1E"/>
    <w:rsid w:val="00841030"/>
    <w:rsid w:val="008414DD"/>
    <w:rsid w:val="008443B5"/>
    <w:rsid w:val="00845026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0FBB"/>
    <w:rsid w:val="00881E18"/>
    <w:rsid w:val="0088320A"/>
    <w:rsid w:val="008835D7"/>
    <w:rsid w:val="00883B04"/>
    <w:rsid w:val="00884CBE"/>
    <w:rsid w:val="00884DFD"/>
    <w:rsid w:val="00892BC4"/>
    <w:rsid w:val="0089520D"/>
    <w:rsid w:val="00897AFC"/>
    <w:rsid w:val="008A2A6C"/>
    <w:rsid w:val="008A3388"/>
    <w:rsid w:val="008A36A9"/>
    <w:rsid w:val="008B00CC"/>
    <w:rsid w:val="008B092F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8F64FC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22F2A"/>
    <w:rsid w:val="00931047"/>
    <w:rsid w:val="00931FEA"/>
    <w:rsid w:val="00932308"/>
    <w:rsid w:val="00933234"/>
    <w:rsid w:val="009355D7"/>
    <w:rsid w:val="00937513"/>
    <w:rsid w:val="00937629"/>
    <w:rsid w:val="009452E4"/>
    <w:rsid w:val="00950D40"/>
    <w:rsid w:val="00952274"/>
    <w:rsid w:val="00952AB9"/>
    <w:rsid w:val="00953BDA"/>
    <w:rsid w:val="00953F72"/>
    <w:rsid w:val="00954359"/>
    <w:rsid w:val="00955E88"/>
    <w:rsid w:val="0096133C"/>
    <w:rsid w:val="00965C42"/>
    <w:rsid w:val="00966B09"/>
    <w:rsid w:val="00971A28"/>
    <w:rsid w:val="0097217E"/>
    <w:rsid w:val="00973498"/>
    <w:rsid w:val="00974D14"/>
    <w:rsid w:val="00985D4D"/>
    <w:rsid w:val="00987872"/>
    <w:rsid w:val="00987C78"/>
    <w:rsid w:val="00987C9E"/>
    <w:rsid w:val="009912FB"/>
    <w:rsid w:val="00991DE7"/>
    <w:rsid w:val="00992430"/>
    <w:rsid w:val="00995810"/>
    <w:rsid w:val="009A07B1"/>
    <w:rsid w:val="009A0BE2"/>
    <w:rsid w:val="009A20B4"/>
    <w:rsid w:val="009A2165"/>
    <w:rsid w:val="009A6844"/>
    <w:rsid w:val="009A6A06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4EBB"/>
    <w:rsid w:val="009D6440"/>
    <w:rsid w:val="009D6FFC"/>
    <w:rsid w:val="009E0C2A"/>
    <w:rsid w:val="009E23F7"/>
    <w:rsid w:val="009E5B82"/>
    <w:rsid w:val="009E6019"/>
    <w:rsid w:val="009E62D1"/>
    <w:rsid w:val="009E656A"/>
    <w:rsid w:val="009E6752"/>
    <w:rsid w:val="009E6845"/>
    <w:rsid w:val="009E7CC7"/>
    <w:rsid w:val="009F239E"/>
    <w:rsid w:val="009F24DB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E5013"/>
    <w:rsid w:val="00AE6F3D"/>
    <w:rsid w:val="00AF17CA"/>
    <w:rsid w:val="00AF5F1E"/>
    <w:rsid w:val="00AF688C"/>
    <w:rsid w:val="00B02DA6"/>
    <w:rsid w:val="00B048AE"/>
    <w:rsid w:val="00B07DAC"/>
    <w:rsid w:val="00B1070E"/>
    <w:rsid w:val="00B11232"/>
    <w:rsid w:val="00B13A4A"/>
    <w:rsid w:val="00B2009F"/>
    <w:rsid w:val="00B218AF"/>
    <w:rsid w:val="00B2624B"/>
    <w:rsid w:val="00B26F30"/>
    <w:rsid w:val="00B342CE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760E3"/>
    <w:rsid w:val="00B85201"/>
    <w:rsid w:val="00B92878"/>
    <w:rsid w:val="00B93448"/>
    <w:rsid w:val="00B94CC0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5306"/>
    <w:rsid w:val="00BB7CB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C007DA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1625"/>
    <w:rsid w:val="00C2388A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539"/>
    <w:rsid w:val="00C5494A"/>
    <w:rsid w:val="00C57011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1F3D"/>
    <w:rsid w:val="00CF2A6E"/>
    <w:rsid w:val="00CF520F"/>
    <w:rsid w:val="00CF6F42"/>
    <w:rsid w:val="00CF7C74"/>
    <w:rsid w:val="00D0178B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5A0"/>
    <w:rsid w:val="00D20DFA"/>
    <w:rsid w:val="00D21C1C"/>
    <w:rsid w:val="00D22F5F"/>
    <w:rsid w:val="00D234BC"/>
    <w:rsid w:val="00D24B20"/>
    <w:rsid w:val="00D26691"/>
    <w:rsid w:val="00D26C7C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182"/>
    <w:rsid w:val="00D61874"/>
    <w:rsid w:val="00D62B14"/>
    <w:rsid w:val="00D63749"/>
    <w:rsid w:val="00D64A07"/>
    <w:rsid w:val="00D704A0"/>
    <w:rsid w:val="00D7064F"/>
    <w:rsid w:val="00D71089"/>
    <w:rsid w:val="00D7333E"/>
    <w:rsid w:val="00D765FA"/>
    <w:rsid w:val="00D803FF"/>
    <w:rsid w:val="00D806F0"/>
    <w:rsid w:val="00D807C9"/>
    <w:rsid w:val="00D813D5"/>
    <w:rsid w:val="00D83D64"/>
    <w:rsid w:val="00D878B4"/>
    <w:rsid w:val="00D87F94"/>
    <w:rsid w:val="00D94D43"/>
    <w:rsid w:val="00DA0FD1"/>
    <w:rsid w:val="00DA23D5"/>
    <w:rsid w:val="00DA274C"/>
    <w:rsid w:val="00DA4A1F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77EF"/>
    <w:rsid w:val="00DE7953"/>
    <w:rsid w:val="00DF178F"/>
    <w:rsid w:val="00DF2EC8"/>
    <w:rsid w:val="00DF2F46"/>
    <w:rsid w:val="00DF4590"/>
    <w:rsid w:val="00DF4A5E"/>
    <w:rsid w:val="00DF639F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42062"/>
    <w:rsid w:val="00E5198B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71AC0"/>
    <w:rsid w:val="00E73AA2"/>
    <w:rsid w:val="00E75008"/>
    <w:rsid w:val="00E777FB"/>
    <w:rsid w:val="00E81518"/>
    <w:rsid w:val="00E81A91"/>
    <w:rsid w:val="00E83CC3"/>
    <w:rsid w:val="00E853B7"/>
    <w:rsid w:val="00E87880"/>
    <w:rsid w:val="00E9026F"/>
    <w:rsid w:val="00E9065D"/>
    <w:rsid w:val="00E95E5B"/>
    <w:rsid w:val="00E961C4"/>
    <w:rsid w:val="00E97422"/>
    <w:rsid w:val="00E97E04"/>
    <w:rsid w:val="00EA2BA2"/>
    <w:rsid w:val="00EA2FA5"/>
    <w:rsid w:val="00EA2FC4"/>
    <w:rsid w:val="00EA4347"/>
    <w:rsid w:val="00EA77AA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3DD6"/>
    <w:rsid w:val="00ED405A"/>
    <w:rsid w:val="00ED4E7D"/>
    <w:rsid w:val="00ED70A2"/>
    <w:rsid w:val="00EE1CEA"/>
    <w:rsid w:val="00EE27ED"/>
    <w:rsid w:val="00EE2F1F"/>
    <w:rsid w:val="00EE5DA4"/>
    <w:rsid w:val="00EF0523"/>
    <w:rsid w:val="00EF1E46"/>
    <w:rsid w:val="00EF26BC"/>
    <w:rsid w:val="00EF6415"/>
    <w:rsid w:val="00EF6E44"/>
    <w:rsid w:val="00F0658E"/>
    <w:rsid w:val="00F07ECE"/>
    <w:rsid w:val="00F11E41"/>
    <w:rsid w:val="00F15BEE"/>
    <w:rsid w:val="00F16CDC"/>
    <w:rsid w:val="00F17591"/>
    <w:rsid w:val="00F20C9D"/>
    <w:rsid w:val="00F24A81"/>
    <w:rsid w:val="00F27D17"/>
    <w:rsid w:val="00F27E4A"/>
    <w:rsid w:val="00F3013F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829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0AB1"/>
    <w:rsid w:val="00FA223D"/>
    <w:rsid w:val="00FA3FF4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7396-82EE-42DB-B815-C9F96226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18118</Words>
  <Characters>103274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533</cp:revision>
  <cp:lastPrinted>2021-06-29T08:38:00Z</cp:lastPrinted>
  <dcterms:created xsi:type="dcterms:W3CDTF">2019-11-25T11:58:00Z</dcterms:created>
  <dcterms:modified xsi:type="dcterms:W3CDTF">2021-07-07T14:30:00Z</dcterms:modified>
</cp:coreProperties>
</file>