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6B" w:rsidRPr="002F666B" w:rsidRDefault="002F666B" w:rsidP="002F6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666B">
        <w:rPr>
          <w:rFonts w:ascii="Times New Roman" w:hAnsi="Times New Roman" w:cs="Times New Roman"/>
          <w:sz w:val="24"/>
          <w:szCs w:val="24"/>
        </w:rPr>
        <w:t>Прокуратурой города на постоянной основе проводится проверка в области соблюдения социальных прав. Так, в истекшем периоде 2024 года прокуратурой города в суд направлено 5 исковых заявлений в интересах пенсионеров о взыскании с лиц денежных средств в связи с совершением в отношении последних преступлений, предусмотренных ст. 159 УК РФ. В настоящее время судом рассмотрено и удовлетворено 1 исковое заявление в указанной сфере.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1B"/>
    <w:rsid w:val="00166365"/>
    <w:rsid w:val="002F666B"/>
    <w:rsid w:val="00A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11605-2AA7-493A-91C7-2A0BB9A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2024-06-26T08:26:00Z</dcterms:created>
  <dcterms:modified xsi:type="dcterms:W3CDTF">2024-06-26T08:26:00Z</dcterms:modified>
</cp:coreProperties>
</file>