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3000000">
      <w:pPr>
        <w:spacing w:after="0" w:before="168"/>
        <w:ind w:firstLine="0" w:left="0" w:right="0"/>
        <w:jc w:val="center"/>
        <w:rPr>
          <w:b w:val="0"/>
        </w:rPr>
      </w:pPr>
      <w:r>
        <w:rPr>
          <w:b w:val="1"/>
        </w:rPr>
        <w:t>Утвержден перечень оборудования для выявления и коррекции факторов риска развития хронических неинфекционных заболеваний для оснащения (дооснащения) имеющихся в субъекте РФ центров здоровья для взрослых</w:t>
      </w:r>
      <w:r>
        <w:br/>
      </w:r>
    </w:p>
    <w:p w14:paraId="04000000">
      <w:pPr>
        <w:spacing w:after="120" w:before="120"/>
        <w:ind w:firstLine="0" w:left="120" w:right="120"/>
        <w:rPr>
          <w:sz w:val="17"/>
        </w:rPr>
      </w:pPr>
      <w:r>
        <w:rPr>
          <w:sz w:val="17"/>
        </w:rPr>
        <w:t> </w:t>
      </w:r>
    </w:p>
    <w:p w14:paraId="05000000">
      <w:pPr>
        <w:spacing w:after="0" w:before="168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 перечень, согласно п</w:t>
      </w:r>
      <w:r>
        <w:rPr>
          <w:rStyle w:val="Style_1_ch"/>
          <w:rFonts w:ascii="PT Astra Serif" w:hAnsi="PT Astra Serif"/>
          <w:sz w:val="28"/>
        </w:rPr>
        <w:t>риказу Минздрава России от 11.04.2025 № 183н"Об утверждении перечня оборудования для выявления и коррекции факторов риска развития хронических неинфекционных заболеваний для оснащения (дооснащения) имеющихся в субъекте Российской Федерации центров здоровья для взрослых в структуре медицинских организаций, на базе которых оказывается первичная медико-санитарная помощь, а также для оснащения вновь организованных центров здоровья для взрослых на базе отделений (кабинетов) медицинской профилактики в центральных районных больницах, районных больницах, в том числе в удаленных населенных пунктах" (зарегистрировано в Минюсте России 17.06.2025 N 82629)</w:t>
      </w:r>
      <w:r>
        <w:rPr>
          <w:rStyle w:val="Style_1_ch"/>
          <w:rFonts w:ascii="PT Astra Serif" w:hAnsi="PT Astra Serif"/>
          <w:sz w:val="28"/>
        </w:rPr>
        <w:t xml:space="preserve">  включены тонометр, экспресс-анализатор для определения глюкозы в крови, смокелайзер, спирометр, весы, ростомер, биоимпедансметр для анализа внутренних сред организма.</w:t>
      </w:r>
    </w:p>
    <w:p w14:paraId="06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7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8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2025-06-22T13:20:15Z</dcterms:modified>
</cp:coreProperties>
</file>