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spacing w:after="0" w:before="0"/>
        <w:ind w:firstLine="0" w:left="0" w:right="0"/>
        <w:jc w:val="both"/>
        <w:rPr>
          <w:b w:val="0"/>
        </w:rPr>
      </w:pPr>
      <w:r>
        <w:rPr>
          <w:b w:val="0"/>
        </w:rPr>
        <w:tab/>
      </w:r>
      <w:r>
        <w:rPr>
          <w:rFonts w:ascii="Times New Roman" w:hAnsi="Times New Roman"/>
          <w:sz w:val="28"/>
        </w:rPr>
        <w:t>Прокуратура города Электростали Московской области разъясняет:</w:t>
      </w:r>
    </w:p>
    <w:p w14:paraId="02000000">
      <w:pPr>
        <w:spacing w:after="0" w:before="0"/>
        <w:ind w:firstLine="709" w:left="0" w:right="0"/>
        <w:jc w:val="center"/>
        <w:rPr>
          <w:b w:val="1"/>
        </w:rPr>
      </w:pPr>
      <w:r>
        <w:br/>
      </w:r>
      <w:r>
        <w:rPr>
          <w:rStyle w:val="Style_1_ch"/>
          <w:rFonts w:ascii="PT Astra Serif" w:hAnsi="PT Astra Serif"/>
          <w:b w:val="1"/>
          <w:sz w:val="28"/>
        </w:rPr>
        <w:t>Утверждены Правила формирования реестра наставников, привлекаемых для индивидуальной профилактической работы с несовершеннолетними, и реестра организаций, участвующих в</w:t>
      </w:r>
      <w:r>
        <w:rPr>
          <w:rStyle w:val="Style_1_ch"/>
          <w:rFonts w:ascii="PT Astra Serif" w:hAnsi="PT Astra Serif"/>
          <w:b w:val="1"/>
          <w:sz w:val="28"/>
        </w:rPr>
        <w:t xml:space="preserve"> </w:t>
      </w:r>
      <w:r>
        <w:rPr>
          <w:rStyle w:val="Style_1_ch"/>
          <w:rFonts w:ascii="PT Astra Serif" w:hAnsi="PT Astra Serif"/>
          <w:b w:val="1"/>
          <w:sz w:val="28"/>
        </w:rPr>
        <w:t>деятельности по профилактике безнадзорности и правонарушений несовершеннолетних</w:t>
      </w:r>
    </w:p>
    <w:p w14:paraId="03000000">
      <w:pPr>
        <w:rPr>
          <w:b w:val="1"/>
        </w:rPr>
      </w:pPr>
      <w:r>
        <w:rPr>
          <w:b w:val="1"/>
        </w:rPr>
        <w:t xml:space="preserve"> </w:t>
      </w:r>
    </w:p>
    <w:p w14:paraId="04000000">
      <w:pPr>
        <w:ind w:firstLine="709"/>
        <w:jc w:val="both"/>
        <w:rPr>
          <w:rFonts w:ascii="PT Astra Serif" w:hAnsi="PT Astra Serif"/>
          <w:sz w:val="28"/>
        </w:rPr>
      </w:pPr>
      <w:r>
        <w:rPr>
          <w:rStyle w:val="Style_1_ch"/>
          <w:rFonts w:ascii="PT Astra Serif" w:hAnsi="PT Astra Serif"/>
          <w:sz w:val="28"/>
        </w:rPr>
        <w:t xml:space="preserve"> С 12 апреля 2024 года в соответствии с постановлением Правительства Российской Федерации от 26.03.2025 № 371 «Об утверждении правил формирования реестра наставников, привлекаемых для осуществления индивидуальной профилактической работы с несовершеннолетними, и реестра организаций, участвующих в деятельности по профилактике безнадзорности и правонарушений несовершеннолетних» определён порядок формирования реестров, а также порядок уведомления наставников и организаций о включении в соответствующий реестр.</w:t>
      </w:r>
    </w:p>
    <w:p w14:paraId="05000000">
      <w:pPr>
        <w:ind w:firstLine="709"/>
        <w:jc w:val="both"/>
        <w:rPr>
          <w:rFonts w:ascii="PT Astra Serif" w:hAnsi="PT Astra Serif"/>
          <w:sz w:val="28"/>
        </w:rPr>
      </w:pPr>
      <w:r>
        <w:rPr>
          <w:rStyle w:val="Style_1_ch"/>
          <w:rFonts w:ascii="PT Astra Serif" w:hAnsi="PT Astra Serif"/>
          <w:sz w:val="28"/>
        </w:rPr>
        <w:t xml:space="preserve">Для включения в реестр наставников или организаций необходимо подать заявление с приложением необходимых документов. Заявление подаётся в электронном виде через Единую информационную систему в сфере развития добровольчества (волонтёрства). </w:t>
      </w:r>
    </w:p>
    <w:p w14:paraId="06000000">
      <w:pPr>
        <w:ind w:firstLine="709"/>
        <w:jc w:val="both"/>
        <w:rPr>
          <w:rFonts w:ascii="PT Astra Serif" w:hAnsi="PT Astra Serif"/>
          <w:sz w:val="28"/>
        </w:rPr>
      </w:pPr>
      <w:r>
        <w:rPr>
          <w:rStyle w:val="Style_1_ch"/>
          <w:rFonts w:ascii="PT Astra Serif" w:hAnsi="PT Astra Serif"/>
          <w:sz w:val="28"/>
        </w:rPr>
        <w:t xml:space="preserve">Основаниями для исключения из реестров являются:  </w:t>
      </w:r>
    </w:p>
    <w:p w14:paraId="07000000">
      <w:pPr>
        <w:ind w:firstLine="709"/>
        <w:jc w:val="both"/>
        <w:rPr>
          <w:rFonts w:ascii="PT Astra Serif" w:hAnsi="PT Astra Serif"/>
          <w:sz w:val="28"/>
        </w:rPr>
      </w:pPr>
      <w:r>
        <w:rPr>
          <w:rStyle w:val="Style_1_ch"/>
          <w:rFonts w:ascii="PT Astra Serif" w:hAnsi="PT Astra Serif"/>
          <w:sz w:val="28"/>
        </w:rPr>
        <w:t xml:space="preserve">- неисполнение или ненадлежащее исполнение наставником или организацией обязанностей;  </w:t>
      </w:r>
    </w:p>
    <w:p w14:paraId="08000000">
      <w:pPr>
        <w:ind w:firstLine="709"/>
        <w:jc w:val="both"/>
        <w:rPr>
          <w:rFonts w:ascii="PT Astra Serif" w:hAnsi="PT Astra Serif"/>
          <w:sz w:val="28"/>
        </w:rPr>
      </w:pPr>
      <w:r>
        <w:rPr>
          <w:rStyle w:val="Style_1_ch"/>
          <w:rFonts w:ascii="PT Astra Serif" w:hAnsi="PT Astra Serif"/>
          <w:sz w:val="28"/>
        </w:rPr>
        <w:t xml:space="preserve">- заявление об исключении из соответствующего реестра;  </w:t>
      </w:r>
    </w:p>
    <w:p w14:paraId="09000000">
      <w:pPr>
        <w:ind w:firstLine="709"/>
        <w:jc w:val="both"/>
        <w:rPr>
          <w:rFonts w:ascii="PT Astra Serif" w:hAnsi="PT Astra Serif"/>
          <w:sz w:val="28"/>
        </w:rPr>
      </w:pPr>
      <w:r>
        <w:rPr>
          <w:rStyle w:val="Style_1_ch"/>
          <w:rFonts w:ascii="PT Astra Serif" w:hAnsi="PT Astra Serif"/>
          <w:sz w:val="28"/>
        </w:rPr>
        <w:t xml:space="preserve">- наличие отдельных обстоятельств;  </w:t>
      </w:r>
    </w:p>
    <w:p w14:paraId="0A000000">
      <w:pPr>
        <w:ind w:firstLine="709"/>
        <w:jc w:val="both"/>
        <w:rPr>
          <w:rFonts w:ascii="PT Astra Serif" w:hAnsi="PT Astra Serif"/>
          <w:sz w:val="28"/>
        </w:rPr>
      </w:pPr>
      <w:r>
        <w:rPr>
          <w:rStyle w:val="Style_1_ch"/>
          <w:rFonts w:ascii="PT Astra Serif" w:hAnsi="PT Astra Serif"/>
          <w:sz w:val="28"/>
        </w:rPr>
        <w:t xml:space="preserve">- ликвидация организации, а также смерть, признание безвестно отсутствующим или объявление умершим наставника.  </w:t>
      </w:r>
    </w:p>
    <w:p w14:paraId="0B000000">
      <w:pPr>
        <w:ind w:firstLine="709"/>
        <w:jc w:val="both"/>
        <w:rPr>
          <w:rFonts w:ascii="PT Astra Serif" w:hAnsi="PT Astra Serif"/>
          <w:sz w:val="28"/>
        </w:rPr>
      </w:pPr>
      <w:r>
        <w:rPr>
          <w:rStyle w:val="Style_1_ch"/>
          <w:rFonts w:ascii="PT Astra Serif" w:hAnsi="PT Astra Serif"/>
          <w:sz w:val="28"/>
        </w:rPr>
        <w:t xml:space="preserve">После исключения из реестра наставник или организация могут быть включены в него повторно не ранее чем через два года.  </w:t>
      </w:r>
    </w:p>
    <w:p w14:paraId="0C000000">
      <w:pPr>
        <w:ind w:firstLine="709"/>
        <w:jc w:val="both"/>
        <w:rPr>
          <w:rFonts w:ascii="PT Astra Serif" w:hAnsi="PT Astra Serif"/>
          <w:sz w:val="28"/>
        </w:rPr>
      </w:pPr>
      <w:r>
        <w:rPr>
          <w:rStyle w:val="Style_1_ch"/>
          <w:rFonts w:ascii="PT Astra Serif" w:hAnsi="PT Astra Serif"/>
          <w:sz w:val="28"/>
        </w:rPr>
        <w:t xml:space="preserve">Формирование реестров осуществляется Министерством просвещения Российской Федерации и их содержание осуществляется в Государственной информационной системе профилактики безнадзорности и правонарушений несовершеннолетних. </w:t>
      </w:r>
    </w:p>
    <w:p w14:paraId="0D000000">
      <w:pPr>
        <w:spacing w:after="0"/>
        <w:ind w:firstLine="709"/>
        <w:jc w:val="both"/>
      </w:pPr>
    </w:p>
    <w:p w14:paraId="0E000000">
      <w:pPr>
        <w:spacing w:after="0" w:line="240" w:lineRule="auto"/>
        <w:ind/>
        <w:jc w:val="right"/>
        <w:rPr>
          <w:rFonts w:ascii="PT Astra Serif" w:hAnsi="PT Astra Serif"/>
          <w:sz w:val="28"/>
        </w:rPr>
      </w:pPr>
    </w:p>
    <w:p w14:paraId="0F000000">
      <w:pPr>
        <w:spacing w:after="0" w:line="240" w:lineRule="auto"/>
        <w:ind/>
        <w:jc w:val="right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Разъяснение подготовила помощник прокурора г. Электростали Самохина А.А. </w:t>
      </w:r>
    </w:p>
    <w:sectPr>
      <w:pgSz w:h="16838" w:orient="portrait" w:w="11906"/>
      <w:pgMar w:bottom="1134" w:footer="708" w:gutter="0" w:header="708" w:left="1701" w:right="566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160" w:before="0" w:line="264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</w:style>
  <w:style w:default="1" w:styleId="Style_1_ch" w:type="character">
    <w:name w:val="Normal"/>
    <w:link w:val="Style_1"/>
  </w:style>
  <w:style w:styleId="Style_2" w:type="paragraph">
    <w:name w:val="toc 2"/>
    <w:next w:val="Style_1"/>
    <w:link w:val="Style_2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2_ch" w:type="character">
    <w:name w:val="toc 2"/>
    <w:link w:val="Style_2"/>
    <w:rPr>
      <w:rFonts w:ascii="XO Thames" w:hAnsi="XO Thames"/>
      <w:sz w:val="28"/>
    </w:rPr>
  </w:style>
  <w:style w:styleId="Style_3" w:type="paragraph">
    <w:name w:val="toc 4"/>
    <w:next w:val="Style_1"/>
    <w:link w:val="Style_3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3_ch" w:type="character">
    <w:name w:val="toc 4"/>
    <w:link w:val="Style_3"/>
    <w:rPr>
      <w:rFonts w:ascii="XO Thames" w:hAnsi="XO Thames"/>
      <w:sz w:val="28"/>
    </w:rPr>
  </w:style>
  <w:style w:styleId="Style_4" w:type="paragraph">
    <w:name w:val="toc 6"/>
    <w:next w:val="Style_1"/>
    <w:link w:val="Style_4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4_ch" w:type="character">
    <w:name w:val="toc 6"/>
    <w:link w:val="Style_4"/>
    <w:rPr>
      <w:rFonts w:ascii="XO Thames" w:hAnsi="XO Thames"/>
      <w:sz w:val="28"/>
    </w:rPr>
  </w:style>
  <w:style w:styleId="Style_5" w:type="paragraph">
    <w:name w:val="toc 7"/>
    <w:next w:val="Style_1"/>
    <w:link w:val="Style_5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5_ch" w:type="character">
    <w:name w:val="toc 7"/>
    <w:link w:val="Style_5"/>
    <w:rPr>
      <w:rFonts w:ascii="XO Thames" w:hAnsi="XO Thames"/>
      <w:sz w:val="28"/>
    </w:rPr>
  </w:style>
  <w:style w:styleId="Style_6" w:type="paragraph">
    <w:name w:val="Endnote"/>
    <w:link w:val="Style_6_ch"/>
    <w:pPr>
      <w:ind w:firstLine="851" w:left="0"/>
      <w:jc w:val="both"/>
    </w:pPr>
    <w:rPr>
      <w:rFonts w:ascii="XO Thames" w:hAnsi="XO Thames"/>
      <w:sz w:val="22"/>
    </w:rPr>
  </w:style>
  <w:style w:styleId="Style_6_ch" w:type="character">
    <w:name w:val="Endnote"/>
    <w:link w:val="Style_6"/>
    <w:rPr>
      <w:rFonts w:ascii="XO Thames" w:hAnsi="XO Thames"/>
      <w:sz w:val="22"/>
    </w:rPr>
  </w:style>
  <w:style w:styleId="Style_7" w:type="paragraph">
    <w:name w:val="heading 3"/>
    <w:next w:val="Style_1"/>
    <w:link w:val="Style_7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7_ch" w:type="character">
    <w:name w:val="heading 3"/>
    <w:link w:val="Style_7"/>
    <w:rPr>
      <w:rFonts w:ascii="XO Thames" w:hAnsi="XO Thames"/>
      <w:b w:val="1"/>
      <w:sz w:val="26"/>
    </w:rPr>
  </w:style>
  <w:style w:styleId="Style_8" w:type="paragraph">
    <w:name w:val="Normal (Web)"/>
    <w:basedOn w:val="Style_1"/>
    <w:link w:val="Style_8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8_ch" w:type="character">
    <w:name w:val="Normal (Web)"/>
    <w:basedOn w:val="Style_1_ch"/>
    <w:link w:val="Style_8"/>
    <w:rPr>
      <w:rFonts w:ascii="Times New Roman" w:hAnsi="Times New Roman"/>
      <w:sz w:val="24"/>
    </w:rPr>
  </w:style>
  <w:style w:styleId="Style_9" w:type="paragraph">
    <w:name w:val="toc 3"/>
    <w:next w:val="Style_1"/>
    <w:link w:val="Style_9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9_ch" w:type="character">
    <w:name w:val="toc 3"/>
    <w:link w:val="Style_9"/>
    <w:rPr>
      <w:rFonts w:ascii="XO Thames" w:hAnsi="XO Thames"/>
      <w:sz w:val="28"/>
    </w:rPr>
  </w:style>
  <w:style w:styleId="Style_10" w:type="paragraph">
    <w:name w:val="heading 5"/>
    <w:next w:val="Style_1"/>
    <w:link w:val="Style_10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0_ch" w:type="character">
    <w:name w:val="heading 5"/>
    <w:link w:val="Style_10"/>
    <w:rPr>
      <w:rFonts w:ascii="XO Thames" w:hAnsi="XO Thames"/>
      <w:b w:val="1"/>
      <w:sz w:val="22"/>
    </w:rPr>
  </w:style>
  <w:style w:styleId="Style_11" w:type="paragraph">
    <w:name w:val="ConsPlusNormal"/>
    <w:link w:val="Style_11_ch"/>
    <w:pPr>
      <w:widowControl w:val="0"/>
      <w:spacing w:after="0" w:line="240" w:lineRule="auto"/>
      <w:ind/>
    </w:pPr>
    <w:rPr>
      <w:rFonts w:ascii="Times New Roman" w:hAnsi="Times New Roman"/>
      <w:sz w:val="24"/>
    </w:rPr>
  </w:style>
  <w:style w:styleId="Style_11_ch" w:type="character">
    <w:name w:val="ConsPlusNormal"/>
    <w:link w:val="Style_11"/>
    <w:rPr>
      <w:rFonts w:ascii="Times New Roman" w:hAnsi="Times New Roman"/>
      <w:sz w:val="24"/>
    </w:rPr>
  </w:style>
  <w:style w:styleId="Style_12" w:type="paragraph">
    <w:name w:val="heading 1"/>
    <w:next w:val="Style_1"/>
    <w:link w:val="Style_12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2_ch" w:type="character">
    <w:name w:val="heading 1"/>
    <w:link w:val="Style_12"/>
    <w:rPr>
      <w:rFonts w:ascii="XO Thames" w:hAnsi="XO Thames"/>
      <w:b w:val="1"/>
      <w:sz w:val="32"/>
    </w:rPr>
  </w:style>
  <w:style w:styleId="Style_13" w:type="paragraph">
    <w:name w:val="header"/>
    <w:basedOn w:val="Style_1"/>
    <w:link w:val="Style_13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3_ch" w:type="character">
    <w:name w:val="header"/>
    <w:basedOn w:val="Style_1_ch"/>
    <w:link w:val="Style_13"/>
  </w:style>
  <w:style w:styleId="Style_14" w:type="paragraph">
    <w:name w:val="Hyperlink"/>
    <w:link w:val="Style_14_ch"/>
    <w:rPr>
      <w:color w:val="0000FF"/>
      <w:u w:val="single"/>
    </w:rPr>
  </w:style>
  <w:style w:styleId="Style_14_ch" w:type="character">
    <w:name w:val="Hyperlink"/>
    <w:link w:val="Style_14"/>
    <w:rPr>
      <w:color w:val="0000FF"/>
      <w:u w:val="single"/>
    </w:rPr>
  </w:style>
  <w:style w:styleId="Style_15" w:type="paragraph">
    <w:name w:val="Footnote"/>
    <w:link w:val="Style_15_ch"/>
    <w:pPr>
      <w:ind w:firstLine="851" w:left="0"/>
      <w:jc w:val="both"/>
    </w:pPr>
    <w:rPr>
      <w:rFonts w:ascii="XO Thames" w:hAnsi="XO Thames"/>
      <w:sz w:val="22"/>
    </w:rPr>
  </w:style>
  <w:style w:styleId="Style_15_ch" w:type="character">
    <w:name w:val="Footnote"/>
    <w:link w:val="Style_15"/>
    <w:rPr>
      <w:rFonts w:ascii="XO Thames" w:hAnsi="XO Thames"/>
      <w:sz w:val="22"/>
    </w:rPr>
  </w:style>
  <w:style w:styleId="Style_16" w:type="paragraph">
    <w:name w:val="toc 1"/>
    <w:next w:val="Style_1"/>
    <w:link w:val="Style_16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6_ch" w:type="character">
    <w:name w:val="toc 1"/>
    <w:link w:val="Style_16"/>
    <w:rPr>
      <w:rFonts w:ascii="XO Thames" w:hAnsi="XO Thames"/>
      <w:b w:val="1"/>
      <w:sz w:val="28"/>
    </w:rPr>
  </w:style>
  <w:style w:styleId="Style_17" w:type="paragraph">
    <w:name w:val="Header and Footer"/>
    <w:link w:val="Style_17_ch"/>
    <w:pPr>
      <w:spacing w:line="240" w:lineRule="auto"/>
      <w:ind/>
      <w:jc w:val="both"/>
    </w:pPr>
    <w:rPr>
      <w:rFonts w:ascii="XO Thames" w:hAnsi="XO Thames"/>
      <w:sz w:val="28"/>
    </w:rPr>
  </w:style>
  <w:style w:styleId="Style_17_ch" w:type="character">
    <w:name w:val="Header and Footer"/>
    <w:link w:val="Style_17"/>
    <w:rPr>
      <w:rFonts w:ascii="XO Thames" w:hAnsi="XO Thames"/>
      <w:sz w:val="28"/>
    </w:rPr>
  </w:style>
  <w:style w:styleId="Style_18" w:type="paragraph">
    <w:name w:val="toc 9"/>
    <w:next w:val="Style_1"/>
    <w:link w:val="Style_18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8_ch" w:type="character">
    <w:name w:val="toc 9"/>
    <w:link w:val="Style_18"/>
    <w:rPr>
      <w:rFonts w:ascii="XO Thames" w:hAnsi="XO Thames"/>
      <w:sz w:val="28"/>
    </w:rPr>
  </w:style>
  <w:style w:styleId="Style_19" w:type="paragraph">
    <w:name w:val="toc 8"/>
    <w:next w:val="Style_1"/>
    <w:link w:val="Style_19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9_ch" w:type="character">
    <w:name w:val="toc 8"/>
    <w:link w:val="Style_19"/>
    <w:rPr>
      <w:rFonts w:ascii="XO Thames" w:hAnsi="XO Thames"/>
      <w:sz w:val="28"/>
    </w:rPr>
  </w:style>
  <w:style w:styleId="Style_20" w:type="paragraph">
    <w:name w:val="Default Paragraph Font"/>
    <w:link w:val="Style_20_ch"/>
  </w:style>
  <w:style w:styleId="Style_20_ch" w:type="character">
    <w:name w:val="Default Paragraph Font"/>
    <w:link w:val="Style_20"/>
  </w:style>
  <w:style w:styleId="Style_21" w:type="paragraph">
    <w:name w:val="toc 5"/>
    <w:next w:val="Style_1"/>
    <w:link w:val="Style_21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1_ch" w:type="character">
    <w:name w:val="toc 5"/>
    <w:link w:val="Style_21"/>
    <w:rPr>
      <w:rFonts w:ascii="XO Thames" w:hAnsi="XO Thames"/>
      <w:sz w:val="28"/>
    </w:rPr>
  </w:style>
  <w:style w:styleId="Style_22" w:type="paragraph">
    <w:name w:val="Subtitle"/>
    <w:next w:val="Style_1"/>
    <w:link w:val="Style_22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2_ch" w:type="character">
    <w:name w:val="Subtitle"/>
    <w:link w:val="Style_22"/>
    <w:rPr>
      <w:rFonts w:ascii="XO Thames" w:hAnsi="XO Thames"/>
      <w:i w:val="1"/>
      <w:sz w:val="24"/>
    </w:rPr>
  </w:style>
  <w:style w:styleId="Style_23" w:type="paragraph">
    <w:name w:val="Title"/>
    <w:next w:val="Style_1"/>
    <w:link w:val="Style_23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3_ch" w:type="character">
    <w:name w:val="Title"/>
    <w:link w:val="Style_23"/>
    <w:rPr>
      <w:rFonts w:ascii="XO Thames" w:hAnsi="XO Thames"/>
      <w:b w:val="1"/>
      <w:caps w:val="1"/>
      <w:sz w:val="40"/>
    </w:rPr>
  </w:style>
  <w:style w:styleId="Style_24" w:type="paragraph">
    <w:name w:val="heading 4"/>
    <w:next w:val="Style_1"/>
    <w:link w:val="Style_24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4_ch" w:type="character">
    <w:name w:val="heading 4"/>
    <w:link w:val="Style_24"/>
    <w:rPr>
      <w:rFonts w:ascii="XO Thames" w:hAnsi="XO Thames"/>
      <w:b w:val="1"/>
      <w:sz w:val="24"/>
    </w:rPr>
  </w:style>
  <w:style w:styleId="Style_25" w:type="paragraph">
    <w:name w:val="heading 2"/>
    <w:next w:val="Style_1"/>
    <w:link w:val="Style_25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5_ch" w:type="character">
    <w:name w:val="heading 2"/>
    <w:link w:val="Style_25"/>
    <w:rPr>
      <w:rFonts w:ascii="XO Thames" w:hAnsi="XO Thames"/>
      <w:b w:val="1"/>
      <w:sz w:val="28"/>
    </w:rPr>
  </w:style>
  <w:style w:default="1" w:styleId="Style_26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1" Target="fontTable.xml" Type="http://schemas.openxmlformats.org/officeDocument/2006/relationships/fontTable"/>
  <Relationship Id="rId2" Target="settings.xml" Type="http://schemas.openxmlformats.org/officeDocument/2006/relationships/settings"/>
  <Relationship Id="rId3" Target="styles.xml" Type="http://schemas.openxmlformats.org/officeDocument/2006/relationships/styles"/>
  <Relationship Id="rId4" Target="stylesWithEffects.xml" Type="http://schemas.microsoft.com/office/2007/relationships/stylesWithEffects"/>
  <Relationship Id="rId5" Target="webSettings.xml" Type="http://schemas.openxmlformats.org/officeDocument/2006/relationships/web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MyOffice-CoreFramework-Linux/31-1176.784.8785.803.1@b7d79ee91c0484ce8e5066dc862bfc403a32edb5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2025-06-22T14:24:25Z</dcterms:modified>
</cp:coreProperties>
</file>