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F56" w:rsidRPr="00930E59" w:rsidRDefault="00987F56" w:rsidP="00987F56">
      <w:pPr>
        <w:widowControl w:val="0"/>
        <w:autoSpaceDE w:val="0"/>
        <w:autoSpaceDN w:val="0"/>
        <w:adjustRightInd w:val="0"/>
        <w:jc w:val="center"/>
        <w:outlineLvl w:val="1"/>
        <w:rPr>
          <w:rFonts w:cs="Times New Roman"/>
          <w:bCs/>
        </w:rPr>
      </w:pPr>
      <w:r w:rsidRPr="00930E59">
        <w:rPr>
          <w:rFonts w:cs="Times New Roman"/>
          <w:bCs/>
        </w:rPr>
        <w:t>СВОДНЫЙ ОТЧЕТ</w:t>
      </w:r>
    </w:p>
    <w:p w:rsidR="00987F56" w:rsidRPr="00930E59" w:rsidRDefault="00987F56" w:rsidP="00987F56">
      <w:pPr>
        <w:pStyle w:val="ConsPlusNonformat"/>
        <w:jc w:val="center"/>
        <w:rPr>
          <w:rFonts w:ascii="Times New Roman" w:hAnsi="Times New Roman" w:cs="Times New Roman"/>
          <w:bCs/>
          <w:sz w:val="24"/>
          <w:szCs w:val="24"/>
        </w:rPr>
      </w:pPr>
      <w:r w:rsidRPr="00930E59">
        <w:rPr>
          <w:rFonts w:ascii="Times New Roman" w:hAnsi="Times New Roman" w:cs="Times New Roman"/>
          <w:bCs/>
          <w:sz w:val="24"/>
          <w:szCs w:val="24"/>
        </w:rPr>
        <w:t>о проведении оценки регулирующего</w:t>
      </w:r>
    </w:p>
    <w:p w:rsidR="00987F56" w:rsidRPr="00732499" w:rsidRDefault="00987F56" w:rsidP="00987F56">
      <w:pPr>
        <w:spacing w:line="240" w:lineRule="exact"/>
        <w:ind w:firstLine="624"/>
        <w:jc w:val="center"/>
        <w:rPr>
          <w:rFonts w:cs="Times New Roman"/>
        </w:rPr>
      </w:pPr>
      <w:r w:rsidRPr="00930E59">
        <w:rPr>
          <w:rFonts w:cs="Times New Roman"/>
          <w:bCs/>
        </w:rPr>
        <w:t xml:space="preserve">воздействия проекта </w:t>
      </w:r>
      <w:bookmarkStart w:id="0" w:name="Par434"/>
      <w:bookmarkEnd w:id="0"/>
      <w:r w:rsidRPr="00732499">
        <w:rPr>
          <w:rFonts w:cs="Times New Roman"/>
        </w:rPr>
        <w:t>постановлени</w:t>
      </w:r>
      <w:r>
        <w:rPr>
          <w:rFonts w:cs="Times New Roman"/>
        </w:rPr>
        <w:t>я</w:t>
      </w:r>
      <w:r w:rsidRPr="00732499">
        <w:rPr>
          <w:rFonts w:cs="Times New Roman"/>
        </w:rPr>
        <w:t xml:space="preserve"> Администрации городского округа Электросталь Московской области</w:t>
      </w:r>
      <w:r w:rsidRPr="00930E59">
        <w:rPr>
          <w:rFonts w:cs="Times New Roman"/>
        </w:rPr>
        <w:t xml:space="preserve"> </w:t>
      </w:r>
      <w:r>
        <w:rPr>
          <w:rFonts w:cs="Times New Roman"/>
        </w:rPr>
        <w:t>«</w:t>
      </w:r>
      <w:r w:rsidRPr="00732499">
        <w:rPr>
          <w:rFonts w:cs="Times New Roman"/>
        </w:rPr>
        <w:t>О внесении изменений в правила землепользования и застройки территории (части территории) городского округа Электросталь Московской области в части корректировки градостроительных регламентов, графической части и порядка их применения»</w:t>
      </w:r>
    </w:p>
    <w:p w:rsidR="00987F56" w:rsidRPr="00930E59" w:rsidRDefault="00987F56" w:rsidP="00987F56">
      <w:pPr>
        <w:pStyle w:val="ConsPlusNonformat"/>
        <w:jc w:val="center"/>
        <w:rPr>
          <w:rFonts w:ascii="Times New Roman" w:hAnsi="Times New Roman" w:cs="Times New Roman"/>
          <w:b/>
          <w:sz w:val="24"/>
          <w:szCs w:val="24"/>
        </w:rPr>
      </w:pPr>
    </w:p>
    <w:tbl>
      <w:tblPr>
        <w:tblStyle w:val="a3"/>
        <w:tblW w:w="9351" w:type="dxa"/>
        <w:tblLook w:val="04A0" w:firstRow="1" w:lastRow="0" w:firstColumn="1" w:lastColumn="0" w:noHBand="0" w:noVBand="1"/>
      </w:tblPr>
      <w:tblGrid>
        <w:gridCol w:w="576"/>
        <w:gridCol w:w="4522"/>
        <w:gridCol w:w="4253"/>
      </w:tblGrid>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w:t>
            </w:r>
          </w:p>
        </w:tc>
        <w:tc>
          <w:tcPr>
            <w:tcW w:w="8775" w:type="dxa"/>
            <w:gridSpan w:val="2"/>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Общая информация</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1.1.</w:t>
            </w:r>
          </w:p>
        </w:tc>
        <w:tc>
          <w:tcPr>
            <w:tcW w:w="4522"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Вид и наименование проекта акта</w:t>
            </w:r>
          </w:p>
        </w:tc>
        <w:tc>
          <w:tcPr>
            <w:tcW w:w="4253" w:type="dxa"/>
          </w:tcPr>
          <w:p w:rsidR="00987F56" w:rsidRPr="00732499" w:rsidRDefault="00987F56" w:rsidP="00202867">
            <w:pPr>
              <w:spacing w:line="240" w:lineRule="exact"/>
              <w:ind w:firstLine="624"/>
              <w:jc w:val="both"/>
              <w:rPr>
                <w:rFonts w:cs="Times New Roman"/>
              </w:rPr>
            </w:pPr>
            <w:r>
              <w:rPr>
                <w:rFonts w:cs="Times New Roman"/>
              </w:rPr>
              <w:t xml:space="preserve">проект </w:t>
            </w:r>
            <w:r w:rsidRPr="00732499">
              <w:rPr>
                <w:rFonts w:cs="Times New Roman"/>
              </w:rPr>
              <w:t>постановлени</w:t>
            </w:r>
            <w:r>
              <w:rPr>
                <w:rFonts w:cs="Times New Roman"/>
              </w:rPr>
              <w:t>я</w:t>
            </w:r>
            <w:r w:rsidRPr="00732499">
              <w:rPr>
                <w:rFonts w:cs="Times New Roman"/>
              </w:rPr>
              <w:t xml:space="preserve"> Администрации городского округа Электросталь Московской области</w:t>
            </w:r>
            <w:r w:rsidRPr="00930E59">
              <w:rPr>
                <w:rFonts w:cs="Times New Roman"/>
              </w:rPr>
              <w:t xml:space="preserve"> </w:t>
            </w:r>
            <w:r>
              <w:rPr>
                <w:rFonts w:cs="Times New Roman"/>
              </w:rPr>
              <w:t>«</w:t>
            </w:r>
            <w:r w:rsidRPr="00732499">
              <w:rPr>
                <w:rFonts w:cs="Times New Roman"/>
              </w:rPr>
              <w:t>О внесении изменений в правила землепользования и застройки территории (части территории) городского округа Электросталь Московской области в части корректировки градостроительных регламентов, графической части и порядка их применения»</w:t>
            </w:r>
          </w:p>
          <w:p w:rsidR="00987F56" w:rsidRPr="00930E59" w:rsidRDefault="00987F56" w:rsidP="00202867">
            <w:pPr>
              <w:pStyle w:val="ConsPlusNonformat"/>
              <w:jc w:val="both"/>
              <w:rPr>
                <w:rFonts w:ascii="Times New Roman" w:hAnsi="Times New Roman" w:cs="Times New Roman"/>
                <w:bCs/>
                <w:sz w:val="24"/>
                <w:szCs w:val="24"/>
              </w:rPr>
            </w:pP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1.2.</w:t>
            </w:r>
          </w:p>
        </w:tc>
        <w:tc>
          <w:tcPr>
            <w:tcW w:w="4522"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Разработчик</w:t>
            </w:r>
          </w:p>
        </w:tc>
        <w:tc>
          <w:tcPr>
            <w:tcW w:w="4253" w:type="dxa"/>
          </w:tcPr>
          <w:p w:rsidR="00987F56" w:rsidRPr="00930E59"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Управление архитектуры и градостроительства Администрации городского округа Электросталь Московской области</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2.</w:t>
            </w:r>
          </w:p>
        </w:tc>
        <w:tc>
          <w:tcPr>
            <w:tcW w:w="4522"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Степень регулирующего воздействия проекта акта, обоснование отнесения проекта акта к соответствующей степени регулирующего воздействия</w:t>
            </w:r>
          </w:p>
        </w:tc>
        <w:tc>
          <w:tcPr>
            <w:tcW w:w="4253" w:type="dxa"/>
          </w:tcPr>
          <w:p w:rsidR="00987F56" w:rsidRPr="00930E59"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высокая</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3.</w:t>
            </w:r>
          </w:p>
        </w:tc>
        <w:tc>
          <w:tcPr>
            <w:tcW w:w="4522"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Описание проблемы, на решение которой направлен предлагаемый способ регулирования,</w:t>
            </w:r>
          </w:p>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оценка негативных эффектов, возникающих в связи с наличием рассматриваемой проблемы</w:t>
            </w:r>
          </w:p>
        </w:tc>
        <w:tc>
          <w:tcPr>
            <w:tcW w:w="4253" w:type="dxa"/>
          </w:tcPr>
          <w:p w:rsidR="00987F56" w:rsidRPr="000946F9" w:rsidRDefault="00987F56" w:rsidP="00202867">
            <w:pPr>
              <w:pStyle w:val="ConsPlusNonformat"/>
              <w:jc w:val="both"/>
              <w:rPr>
                <w:rFonts w:ascii="Times New Roman" w:hAnsi="Times New Roman" w:cs="Times New Roman"/>
                <w:bCs/>
                <w:sz w:val="24"/>
                <w:szCs w:val="24"/>
              </w:rPr>
            </w:pPr>
            <w:r w:rsidRPr="000946F9">
              <w:rPr>
                <w:rFonts w:ascii="Times New Roman" w:hAnsi="Times New Roman" w:cs="Times New Roman"/>
                <w:bCs/>
                <w:sz w:val="24"/>
                <w:szCs w:val="24"/>
              </w:rPr>
              <w:t>Правила землепользования и застройки городского округа Электросталь Московской области (далее – Правила, настоящие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p>
          <w:p w:rsidR="00987F56"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Проект</w:t>
            </w:r>
            <w:r w:rsidRPr="000946F9">
              <w:rPr>
                <w:rFonts w:ascii="Times New Roman" w:hAnsi="Times New Roman" w:cs="Times New Roman"/>
                <w:bCs/>
                <w:sz w:val="24"/>
                <w:szCs w:val="24"/>
              </w:rPr>
              <w:t xml:space="preserve"> явля</w:t>
            </w:r>
            <w:r>
              <w:rPr>
                <w:rFonts w:ascii="Times New Roman" w:hAnsi="Times New Roman" w:cs="Times New Roman"/>
                <w:bCs/>
                <w:sz w:val="24"/>
                <w:szCs w:val="24"/>
              </w:rPr>
              <w:t>е</w:t>
            </w:r>
            <w:r w:rsidRPr="000946F9">
              <w:rPr>
                <w:rFonts w:ascii="Times New Roman" w:hAnsi="Times New Roman" w:cs="Times New Roman"/>
                <w:bCs/>
                <w:sz w:val="24"/>
                <w:szCs w:val="24"/>
              </w:rPr>
              <w:t>тся основным документом для застройщика, поскольку он устанавлива</w:t>
            </w:r>
            <w:r>
              <w:rPr>
                <w:rFonts w:ascii="Times New Roman" w:hAnsi="Times New Roman" w:cs="Times New Roman"/>
                <w:bCs/>
                <w:sz w:val="24"/>
                <w:szCs w:val="24"/>
              </w:rPr>
              <w:t>е</w:t>
            </w:r>
            <w:r w:rsidRPr="000946F9">
              <w:rPr>
                <w:rFonts w:ascii="Times New Roman" w:hAnsi="Times New Roman" w:cs="Times New Roman"/>
                <w:bCs/>
                <w:sz w:val="24"/>
                <w:szCs w:val="24"/>
              </w:rPr>
              <w:t xml:space="preserve">т большинство требований к застройке земельного участка. В соответствии с п. 2 ст. 30 </w:t>
            </w:r>
            <w:proofErr w:type="spellStart"/>
            <w:r w:rsidRPr="000946F9">
              <w:rPr>
                <w:rFonts w:ascii="Times New Roman" w:hAnsi="Times New Roman" w:cs="Times New Roman"/>
                <w:bCs/>
                <w:sz w:val="24"/>
                <w:szCs w:val="24"/>
              </w:rPr>
              <w:t>ГрК</w:t>
            </w:r>
            <w:proofErr w:type="spellEnd"/>
            <w:r w:rsidRPr="000946F9">
              <w:rPr>
                <w:rFonts w:ascii="Times New Roman" w:hAnsi="Times New Roman" w:cs="Times New Roman"/>
                <w:bCs/>
                <w:sz w:val="24"/>
                <w:szCs w:val="24"/>
              </w:rPr>
              <w:t xml:space="preserve"> РФ ПЗЗ включают в себя: </w:t>
            </w:r>
          </w:p>
          <w:p w:rsidR="00987F56" w:rsidRDefault="00987F56" w:rsidP="00202867">
            <w:pPr>
              <w:pStyle w:val="ConsPlusNonformat"/>
              <w:jc w:val="both"/>
              <w:rPr>
                <w:rFonts w:ascii="Times New Roman" w:hAnsi="Times New Roman" w:cs="Times New Roman"/>
                <w:bCs/>
                <w:sz w:val="24"/>
                <w:szCs w:val="24"/>
              </w:rPr>
            </w:pPr>
            <w:r w:rsidRPr="000946F9">
              <w:rPr>
                <w:rFonts w:ascii="Times New Roman" w:hAnsi="Times New Roman" w:cs="Times New Roman"/>
                <w:bCs/>
                <w:sz w:val="24"/>
                <w:szCs w:val="24"/>
              </w:rPr>
              <w:t>1) порядок их применения и внесения изменений в</w:t>
            </w:r>
            <w:r>
              <w:rPr>
                <w:rFonts w:ascii="Times New Roman" w:hAnsi="Times New Roman" w:cs="Times New Roman"/>
                <w:bCs/>
                <w:sz w:val="24"/>
                <w:szCs w:val="24"/>
              </w:rPr>
              <w:t xml:space="preserve"> указанные правила</w:t>
            </w:r>
            <w:r w:rsidRPr="000946F9">
              <w:rPr>
                <w:rFonts w:ascii="Times New Roman" w:hAnsi="Times New Roman" w:cs="Times New Roman"/>
                <w:bCs/>
                <w:sz w:val="24"/>
                <w:szCs w:val="24"/>
              </w:rPr>
              <w:t>;</w:t>
            </w:r>
          </w:p>
          <w:p w:rsidR="00987F56" w:rsidRDefault="00987F56" w:rsidP="00202867">
            <w:pPr>
              <w:pStyle w:val="ConsPlusNonformat"/>
              <w:jc w:val="both"/>
              <w:rPr>
                <w:rFonts w:ascii="Times New Roman" w:hAnsi="Times New Roman" w:cs="Times New Roman"/>
                <w:bCs/>
                <w:sz w:val="24"/>
                <w:szCs w:val="24"/>
              </w:rPr>
            </w:pPr>
            <w:r w:rsidRPr="000946F9">
              <w:rPr>
                <w:rFonts w:ascii="Times New Roman" w:hAnsi="Times New Roman" w:cs="Times New Roman"/>
                <w:bCs/>
                <w:sz w:val="24"/>
                <w:szCs w:val="24"/>
              </w:rPr>
              <w:t xml:space="preserve">2) карту градостроительного зонирования; </w:t>
            </w:r>
          </w:p>
          <w:p w:rsidR="00987F56" w:rsidRDefault="00987F56" w:rsidP="00202867">
            <w:pPr>
              <w:pStyle w:val="ConsPlusNonformat"/>
              <w:jc w:val="both"/>
              <w:rPr>
                <w:rFonts w:ascii="Times New Roman" w:hAnsi="Times New Roman" w:cs="Times New Roman"/>
                <w:bCs/>
                <w:sz w:val="24"/>
                <w:szCs w:val="24"/>
              </w:rPr>
            </w:pPr>
            <w:r w:rsidRPr="000946F9">
              <w:rPr>
                <w:rFonts w:ascii="Times New Roman" w:hAnsi="Times New Roman" w:cs="Times New Roman"/>
                <w:bCs/>
                <w:sz w:val="24"/>
                <w:szCs w:val="24"/>
              </w:rPr>
              <w:t>3) градостроительные регламенты. Порядок содерж</w:t>
            </w:r>
            <w:r>
              <w:rPr>
                <w:rFonts w:ascii="Times New Roman" w:hAnsi="Times New Roman" w:cs="Times New Roman"/>
                <w:bCs/>
                <w:sz w:val="24"/>
                <w:szCs w:val="24"/>
              </w:rPr>
              <w:t>ит</w:t>
            </w:r>
            <w:r w:rsidRPr="000946F9">
              <w:rPr>
                <w:rFonts w:ascii="Times New Roman" w:hAnsi="Times New Roman" w:cs="Times New Roman"/>
                <w:bCs/>
                <w:sz w:val="24"/>
                <w:szCs w:val="24"/>
              </w:rPr>
              <w:t xml:space="preserve"> регулирование по </w:t>
            </w:r>
            <w:r w:rsidRPr="000946F9">
              <w:rPr>
                <w:rFonts w:ascii="Times New Roman" w:hAnsi="Times New Roman" w:cs="Times New Roman"/>
                <w:bCs/>
                <w:sz w:val="24"/>
                <w:szCs w:val="24"/>
              </w:rPr>
              <w:lastRenderedPageBreak/>
              <w:t xml:space="preserve">вопросам изменения видов разрешенного использования земельных участков, подготовки документации по планировке территории и т.д. </w:t>
            </w:r>
          </w:p>
          <w:p w:rsidR="00987F56" w:rsidRPr="000946F9" w:rsidRDefault="00987F56" w:rsidP="00202867">
            <w:pPr>
              <w:pStyle w:val="ConsPlusNonformat"/>
              <w:jc w:val="both"/>
              <w:rPr>
                <w:rFonts w:ascii="Times New Roman" w:hAnsi="Times New Roman" w:cs="Times New Roman"/>
                <w:bCs/>
                <w:sz w:val="24"/>
                <w:szCs w:val="24"/>
              </w:rPr>
            </w:pPr>
            <w:r w:rsidRPr="000946F9">
              <w:rPr>
                <w:rFonts w:ascii="Times New Roman" w:hAnsi="Times New Roman" w:cs="Times New Roman"/>
                <w:bCs/>
                <w:sz w:val="24"/>
                <w:szCs w:val="24"/>
              </w:rPr>
              <w:t xml:space="preserve">Карта градостроительного зонирования фиксирует границы территориальных зон. При этом один земельный участок должен относиться только к одной территориальной зоне. Территориальная зона по своей сути является совокупностью земельных участков, на которые распространяется один </w:t>
            </w:r>
            <w:proofErr w:type="spellStart"/>
            <w:r w:rsidRPr="000946F9">
              <w:rPr>
                <w:rFonts w:ascii="Times New Roman" w:hAnsi="Times New Roman" w:cs="Times New Roman"/>
                <w:bCs/>
                <w:sz w:val="24"/>
                <w:szCs w:val="24"/>
              </w:rPr>
              <w:t>градрегламент</w:t>
            </w:r>
            <w:proofErr w:type="spellEnd"/>
            <w:r w:rsidRPr="000946F9">
              <w:rPr>
                <w:rFonts w:ascii="Times New Roman" w:hAnsi="Times New Roman" w:cs="Times New Roman"/>
                <w:bCs/>
                <w:sz w:val="24"/>
                <w:szCs w:val="24"/>
              </w:rPr>
              <w:t>.</w:t>
            </w:r>
          </w:p>
          <w:p w:rsidR="00987F56" w:rsidRPr="00930E59" w:rsidRDefault="00987F56" w:rsidP="00202867">
            <w:pPr>
              <w:pStyle w:val="ConsPlusNonformat"/>
              <w:jc w:val="both"/>
              <w:rPr>
                <w:rFonts w:ascii="Times New Roman" w:hAnsi="Times New Roman" w:cs="Times New Roman"/>
                <w:bCs/>
                <w:sz w:val="24"/>
                <w:szCs w:val="24"/>
              </w:rPr>
            </w:pP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lastRenderedPageBreak/>
              <w:t>4.</w:t>
            </w:r>
          </w:p>
        </w:tc>
        <w:tc>
          <w:tcPr>
            <w:tcW w:w="4522"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Цели предлагаемого регулирования и их соответствие принципам правового регулирования</w:t>
            </w:r>
          </w:p>
        </w:tc>
        <w:tc>
          <w:tcPr>
            <w:tcW w:w="4253" w:type="dxa"/>
          </w:tcPr>
          <w:p w:rsidR="00987F56" w:rsidRPr="000946F9" w:rsidRDefault="00987F56" w:rsidP="00202867">
            <w:pPr>
              <w:pStyle w:val="a4"/>
              <w:tabs>
                <w:tab w:val="left" w:pos="1134"/>
              </w:tabs>
              <w:ind w:left="708" w:right="2" w:firstLine="0"/>
              <w:rPr>
                <w:sz w:val="24"/>
                <w:szCs w:val="24"/>
                <w:lang w:val="ru-RU"/>
              </w:rPr>
            </w:pPr>
            <w:r>
              <w:rPr>
                <w:sz w:val="24"/>
                <w:szCs w:val="24"/>
                <w:lang w:val="ru-RU"/>
              </w:rPr>
              <w:t>Проект разработан</w:t>
            </w:r>
            <w:r w:rsidRPr="000946F9">
              <w:rPr>
                <w:sz w:val="24"/>
                <w:szCs w:val="24"/>
                <w:lang w:val="ru-RU"/>
              </w:rPr>
              <w:t xml:space="preserve"> в целях:</w:t>
            </w:r>
          </w:p>
          <w:p w:rsidR="00987F56" w:rsidRPr="001A0F90" w:rsidRDefault="00987F56" w:rsidP="00987F56">
            <w:pPr>
              <w:pStyle w:val="a4"/>
              <w:numPr>
                <w:ilvl w:val="1"/>
                <w:numId w:val="1"/>
              </w:numPr>
              <w:tabs>
                <w:tab w:val="left" w:pos="1134"/>
              </w:tabs>
              <w:ind w:left="0" w:right="2" w:firstLine="708"/>
              <w:rPr>
                <w:sz w:val="24"/>
                <w:szCs w:val="24"/>
                <w:lang w:val="ru-RU"/>
              </w:rPr>
            </w:pPr>
            <w:r w:rsidRPr="001A0F90">
              <w:rPr>
                <w:sz w:val="24"/>
                <w:szCs w:val="24"/>
                <w:lang w:val="ru-RU"/>
              </w:rPr>
              <w:t>создания условий для устойчивого развития территории городского округа, сохранения окружающей среды и объектов культурного наследия;</w:t>
            </w:r>
          </w:p>
          <w:p w:rsidR="00987F56" w:rsidRPr="001A0F90" w:rsidRDefault="00987F56" w:rsidP="00987F56">
            <w:pPr>
              <w:pStyle w:val="a4"/>
              <w:numPr>
                <w:ilvl w:val="1"/>
                <w:numId w:val="1"/>
              </w:numPr>
              <w:tabs>
                <w:tab w:val="left" w:pos="1134"/>
              </w:tabs>
              <w:ind w:left="0" w:right="2" w:firstLine="708"/>
              <w:rPr>
                <w:sz w:val="24"/>
                <w:szCs w:val="24"/>
                <w:lang w:val="ru-RU"/>
              </w:rPr>
            </w:pPr>
            <w:r w:rsidRPr="001A0F90">
              <w:rPr>
                <w:sz w:val="24"/>
                <w:szCs w:val="24"/>
                <w:lang w:val="ru-RU"/>
              </w:rPr>
              <w:t>создания условий для планировки территории городского округа;</w:t>
            </w:r>
          </w:p>
          <w:p w:rsidR="00987F56" w:rsidRPr="001A0F90" w:rsidRDefault="00987F56" w:rsidP="00987F56">
            <w:pPr>
              <w:pStyle w:val="a4"/>
              <w:numPr>
                <w:ilvl w:val="1"/>
                <w:numId w:val="1"/>
              </w:numPr>
              <w:tabs>
                <w:tab w:val="left" w:pos="1134"/>
              </w:tabs>
              <w:ind w:left="0" w:right="2" w:firstLine="708"/>
              <w:rPr>
                <w:sz w:val="24"/>
                <w:szCs w:val="24"/>
                <w:lang w:val="ru-RU"/>
              </w:rPr>
            </w:pPr>
            <w:r w:rsidRPr="001A0F90">
              <w:rPr>
                <w:sz w:val="24"/>
                <w:szCs w:val="24"/>
                <w:lang w:val="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городского округа;</w:t>
            </w:r>
          </w:p>
          <w:p w:rsidR="00987F56" w:rsidRPr="001A0F90" w:rsidRDefault="00987F56" w:rsidP="00987F56">
            <w:pPr>
              <w:pStyle w:val="a4"/>
              <w:numPr>
                <w:ilvl w:val="1"/>
                <w:numId w:val="1"/>
              </w:numPr>
              <w:tabs>
                <w:tab w:val="left" w:pos="1134"/>
              </w:tabs>
              <w:ind w:left="0" w:right="2" w:firstLine="708"/>
              <w:rPr>
                <w:sz w:val="24"/>
                <w:szCs w:val="24"/>
                <w:lang w:val="ru-RU"/>
              </w:rPr>
            </w:pPr>
            <w:r w:rsidRPr="001A0F90">
              <w:rPr>
                <w:sz w:val="24"/>
                <w:szCs w:val="24"/>
                <w:lang w:val="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расположенных на территории городского округа.</w:t>
            </w:r>
          </w:p>
          <w:p w:rsidR="00987F56" w:rsidRPr="000946F9" w:rsidRDefault="00987F56" w:rsidP="00202867">
            <w:pPr>
              <w:pStyle w:val="ConsPlusNonformat"/>
              <w:jc w:val="both"/>
              <w:rPr>
                <w:rFonts w:ascii="Times New Roman" w:hAnsi="Times New Roman" w:cs="Times New Roman"/>
                <w:sz w:val="24"/>
                <w:szCs w:val="24"/>
                <w:lang w:eastAsia="en-US"/>
              </w:rPr>
            </w:pP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5.</w:t>
            </w:r>
          </w:p>
        </w:tc>
        <w:tc>
          <w:tcPr>
            <w:tcW w:w="4522"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Основные группы субъектов предпринимательской и иной экономической деятельности, иных заинтересованных лиц, включая органы местного самоуправления городского округа Электросталь Московской области, интересы которых будут затронуты предлагаемым правовым регулированием, оценка количества таких субъектов</w:t>
            </w:r>
          </w:p>
        </w:tc>
        <w:tc>
          <w:tcPr>
            <w:tcW w:w="4253" w:type="dxa"/>
          </w:tcPr>
          <w:p w:rsidR="00987F56" w:rsidRDefault="00987F56" w:rsidP="00202867">
            <w:pPr>
              <w:pStyle w:val="ConsPlusNonformat"/>
              <w:jc w:val="both"/>
              <w:rPr>
                <w:rFonts w:ascii="Times New Roman" w:hAnsi="Times New Roman" w:cs="Times New Roman"/>
                <w:sz w:val="24"/>
                <w:szCs w:val="24"/>
                <w:lang w:eastAsia="en-US"/>
              </w:rPr>
            </w:pPr>
            <w:r w:rsidRPr="000946F9">
              <w:rPr>
                <w:rFonts w:ascii="Times New Roman" w:hAnsi="Times New Roman" w:cs="Times New Roman"/>
                <w:sz w:val="24"/>
                <w:szCs w:val="24"/>
                <w:lang w:eastAsia="en-US"/>
              </w:rPr>
              <w:t xml:space="preserve">Правовое регулирование Проекта правового акта распространяется на жителей </w:t>
            </w:r>
            <w:r>
              <w:rPr>
                <w:rFonts w:ascii="Times New Roman" w:hAnsi="Times New Roman" w:cs="Times New Roman"/>
                <w:sz w:val="24"/>
                <w:szCs w:val="24"/>
                <w:lang w:eastAsia="en-US"/>
              </w:rPr>
              <w:t>городского округа</w:t>
            </w:r>
            <w:r w:rsidRPr="000946F9">
              <w:rPr>
                <w:rFonts w:ascii="Times New Roman" w:hAnsi="Times New Roman" w:cs="Times New Roman"/>
                <w:sz w:val="24"/>
                <w:szCs w:val="24"/>
                <w:lang w:eastAsia="en-US"/>
              </w:rPr>
              <w:t>, представителей малого и среднего предпринимательства, органы местного самоуправления, общественные и иные организации и иных субъектов.</w:t>
            </w:r>
          </w:p>
          <w:p w:rsidR="00987F56" w:rsidRPr="000946F9" w:rsidRDefault="00987F56" w:rsidP="00202867">
            <w:pPr>
              <w:pStyle w:val="ConsPlusNonformat"/>
              <w:jc w:val="both"/>
              <w:rPr>
                <w:rFonts w:ascii="Times New Roman" w:hAnsi="Times New Roman" w:cs="Times New Roman"/>
                <w:sz w:val="24"/>
                <w:szCs w:val="24"/>
                <w:lang w:eastAsia="en-US"/>
              </w:rPr>
            </w:pPr>
            <w:r w:rsidRPr="002C70A7">
              <w:rPr>
                <w:rFonts w:ascii="Times New Roman" w:hAnsi="Times New Roman" w:cs="Times New Roman"/>
                <w:sz w:val="24"/>
                <w:szCs w:val="24"/>
                <w:lang w:eastAsia="en-US"/>
              </w:rPr>
              <w:t xml:space="preserve">Оценить динамику численности потенциальных адресатов правового регулирования в среднесрочном </w:t>
            </w:r>
            <w:r w:rsidRPr="002C70A7">
              <w:rPr>
                <w:rFonts w:ascii="Times New Roman" w:hAnsi="Times New Roman" w:cs="Times New Roman"/>
                <w:sz w:val="24"/>
                <w:szCs w:val="24"/>
                <w:lang w:eastAsia="en-US"/>
              </w:rPr>
              <w:lastRenderedPageBreak/>
              <w:t>периоде не представляется возможным в связи с неясностью в определении конкретных групп субъектов предпринимательской и инвестиционной деятельности, иных лиц, интересы которых будут затронуты предлагаемым правовым регулированием.</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lastRenderedPageBreak/>
              <w:t>6.</w:t>
            </w:r>
          </w:p>
        </w:tc>
        <w:tc>
          <w:tcPr>
            <w:tcW w:w="4522" w:type="dxa"/>
          </w:tcPr>
          <w:p w:rsidR="00987F56" w:rsidRPr="00930E59" w:rsidRDefault="00987F56" w:rsidP="00202867">
            <w:pPr>
              <w:widowControl w:val="0"/>
              <w:autoSpaceDE w:val="0"/>
              <w:autoSpaceDN w:val="0"/>
              <w:adjustRightInd w:val="0"/>
              <w:jc w:val="both"/>
              <w:rPr>
                <w:rFonts w:cs="Times New Roman"/>
                <w:bCs/>
              </w:rPr>
            </w:pPr>
            <w:r w:rsidRPr="00930E59">
              <w:rPr>
                <w:rFonts w:cs="Times New Roman"/>
                <w:bCs/>
              </w:rPr>
              <w:t>Новые или изменяющие ранее предусмотренные муниципальными правовыми актами городского округа Электросталь Московской области обязанности, запреты и ограничения для субъектов предпринимательской и иной экономической деятельности</w:t>
            </w:r>
          </w:p>
        </w:tc>
        <w:tc>
          <w:tcPr>
            <w:tcW w:w="4253" w:type="dxa"/>
          </w:tcPr>
          <w:p w:rsidR="00987F56" w:rsidRPr="002C70A7" w:rsidRDefault="00987F56" w:rsidP="00202867">
            <w:pPr>
              <w:pStyle w:val="ConsPlusNonformat"/>
              <w:jc w:val="both"/>
              <w:rPr>
                <w:rFonts w:ascii="Times New Roman" w:hAnsi="Times New Roman" w:cs="Times New Roman"/>
                <w:sz w:val="24"/>
                <w:szCs w:val="24"/>
                <w:lang w:eastAsia="en-US"/>
              </w:rPr>
            </w:pPr>
            <w:r w:rsidRPr="002C70A7">
              <w:rPr>
                <w:rFonts w:ascii="Times New Roman" w:hAnsi="Times New Roman" w:cs="Times New Roman"/>
                <w:sz w:val="24"/>
                <w:szCs w:val="24"/>
                <w:lang w:eastAsia="en-US"/>
              </w:rPr>
              <w:t xml:space="preserve">Правила землепользования и застройки </w:t>
            </w:r>
            <w:proofErr w:type="spellStart"/>
            <w:r w:rsidRPr="002C70A7">
              <w:rPr>
                <w:rFonts w:ascii="Times New Roman" w:hAnsi="Times New Roman" w:cs="Times New Roman"/>
                <w:sz w:val="24"/>
                <w:szCs w:val="24"/>
                <w:lang w:eastAsia="en-US"/>
              </w:rPr>
              <w:t>г.о</w:t>
            </w:r>
            <w:proofErr w:type="spellEnd"/>
            <w:r w:rsidRPr="002C70A7">
              <w:rPr>
                <w:rFonts w:ascii="Times New Roman" w:hAnsi="Times New Roman" w:cs="Times New Roman"/>
                <w:sz w:val="24"/>
                <w:szCs w:val="24"/>
                <w:lang w:eastAsia="en-US"/>
              </w:rPr>
              <w:t xml:space="preserve">. Электросталь утверждены постановлением Администрации </w:t>
            </w:r>
            <w:proofErr w:type="spellStart"/>
            <w:r w:rsidRPr="002C70A7">
              <w:rPr>
                <w:rFonts w:ascii="Times New Roman" w:hAnsi="Times New Roman" w:cs="Times New Roman"/>
                <w:sz w:val="24"/>
                <w:szCs w:val="24"/>
                <w:lang w:eastAsia="en-US"/>
              </w:rPr>
              <w:t>г.о</w:t>
            </w:r>
            <w:proofErr w:type="spellEnd"/>
            <w:r w:rsidRPr="002C70A7">
              <w:rPr>
                <w:rFonts w:ascii="Times New Roman" w:hAnsi="Times New Roman" w:cs="Times New Roman"/>
                <w:sz w:val="24"/>
                <w:szCs w:val="24"/>
                <w:lang w:eastAsia="en-US"/>
              </w:rPr>
              <w:t>. Электросталь Московской области от 02.06.2021 № 427/6</w:t>
            </w:r>
          </w:p>
          <w:p w:rsidR="00987F56" w:rsidRPr="002C70A7" w:rsidRDefault="00987F56" w:rsidP="00202867">
            <w:pPr>
              <w:pStyle w:val="ConsPlusNonformat"/>
              <w:jc w:val="both"/>
              <w:rPr>
                <w:rFonts w:ascii="Times New Roman" w:hAnsi="Times New Roman" w:cs="Times New Roman"/>
                <w:sz w:val="24"/>
                <w:szCs w:val="24"/>
                <w:lang w:eastAsia="en-US"/>
              </w:rPr>
            </w:pPr>
            <w:r w:rsidRPr="002C70A7">
              <w:rPr>
                <w:rFonts w:ascii="Times New Roman" w:hAnsi="Times New Roman" w:cs="Times New Roman"/>
                <w:sz w:val="24"/>
                <w:szCs w:val="24"/>
                <w:lang w:eastAsia="en-US"/>
              </w:rPr>
              <w:t xml:space="preserve">Рассматриваемый проект вносит изменения в указанный документ в части корректировки градостроительных регламентов, графической части и </w:t>
            </w:r>
            <w:r w:rsidRPr="002C70A7">
              <w:rPr>
                <w:rFonts w:ascii="Times New Roman" w:hAnsi="Times New Roman" w:cs="Times New Roman"/>
                <w:sz w:val="24"/>
                <w:szCs w:val="24"/>
                <w:lang w:eastAsia="en-US"/>
              </w:rPr>
              <w:br/>
              <w:t>порядка их применения</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7.</w:t>
            </w:r>
          </w:p>
        </w:tc>
        <w:tc>
          <w:tcPr>
            <w:tcW w:w="4522" w:type="dxa"/>
          </w:tcPr>
          <w:p w:rsidR="00987F56" w:rsidRPr="00930E59" w:rsidRDefault="00987F56" w:rsidP="00202867">
            <w:pPr>
              <w:widowControl w:val="0"/>
              <w:autoSpaceDE w:val="0"/>
              <w:autoSpaceDN w:val="0"/>
              <w:adjustRightInd w:val="0"/>
              <w:jc w:val="both"/>
              <w:rPr>
                <w:rFonts w:cs="Times New Roman"/>
                <w:bCs/>
              </w:rPr>
            </w:pPr>
            <w:r w:rsidRPr="00930E59">
              <w:rPr>
                <w:rFonts w:cs="Times New Roman"/>
                <w:bCs/>
              </w:rPr>
              <w:t>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запретов и ограничений либо изменением содержания таких обязанностей</w:t>
            </w:r>
          </w:p>
        </w:tc>
        <w:tc>
          <w:tcPr>
            <w:tcW w:w="4253" w:type="dxa"/>
          </w:tcPr>
          <w:p w:rsidR="00987F56" w:rsidRPr="00930E59"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отсутствуют</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8.</w:t>
            </w:r>
          </w:p>
        </w:tc>
        <w:tc>
          <w:tcPr>
            <w:tcW w:w="4522" w:type="dxa"/>
          </w:tcPr>
          <w:p w:rsidR="00987F56" w:rsidRPr="00930E59" w:rsidRDefault="00987F56" w:rsidP="00202867">
            <w:pPr>
              <w:widowControl w:val="0"/>
              <w:autoSpaceDE w:val="0"/>
              <w:autoSpaceDN w:val="0"/>
              <w:adjustRightInd w:val="0"/>
              <w:jc w:val="both"/>
              <w:rPr>
                <w:rFonts w:cs="Times New Roman"/>
                <w:bCs/>
              </w:rPr>
            </w:pPr>
            <w:r w:rsidRPr="00930E59">
              <w:rPr>
                <w:rFonts w:cs="Times New Roman"/>
                <w:bCs/>
              </w:rPr>
              <w:t>Риски решения проблемы предложенным способом регулирования и риски негативных последствий</w:t>
            </w:r>
          </w:p>
        </w:tc>
        <w:tc>
          <w:tcPr>
            <w:tcW w:w="4253" w:type="dxa"/>
          </w:tcPr>
          <w:p w:rsidR="00987F56"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Проект предполагает установление территориальных зон КРТ на земли сельскохозяйственного назначения, планируемый под развитие садоводства площадью свыше 3 га. Возникают риски стихийной застройки земель сельскохозяйственного назначения без соблюдения норм градостроительного регулирования.</w:t>
            </w:r>
          </w:p>
          <w:p w:rsidR="00987F56" w:rsidRPr="009705BD" w:rsidRDefault="00987F56" w:rsidP="00202867">
            <w:pPr>
              <w:pStyle w:val="ConsPlusNonformat"/>
              <w:jc w:val="both"/>
              <w:rPr>
                <w:rFonts w:ascii="Times New Roman" w:hAnsi="Times New Roman" w:cs="Times New Roman"/>
                <w:bCs/>
                <w:sz w:val="24"/>
                <w:szCs w:val="24"/>
              </w:rPr>
            </w:pPr>
            <w:r w:rsidRPr="009705BD">
              <w:rPr>
                <w:rFonts w:ascii="Times New Roman" w:hAnsi="Times New Roman" w:cs="Times New Roman"/>
                <w:bCs/>
                <w:sz w:val="24"/>
                <w:szCs w:val="24"/>
              </w:rPr>
              <w:t xml:space="preserve">Ожидаемые положительные эффекты от реализации Проекта правового акта: - расширение возможностей ведения бизнеса на территории городского округа за счет изменения территориальных зон; </w:t>
            </w:r>
          </w:p>
          <w:p w:rsidR="00987F56" w:rsidRPr="009705BD" w:rsidRDefault="00987F56" w:rsidP="00202867">
            <w:pPr>
              <w:pStyle w:val="ConsPlusNonformat"/>
              <w:jc w:val="both"/>
              <w:rPr>
                <w:rFonts w:ascii="Times New Roman" w:hAnsi="Times New Roman" w:cs="Times New Roman"/>
                <w:bCs/>
                <w:sz w:val="24"/>
                <w:szCs w:val="24"/>
              </w:rPr>
            </w:pPr>
            <w:r w:rsidRPr="009705BD">
              <w:rPr>
                <w:rFonts w:ascii="Times New Roman" w:hAnsi="Times New Roman" w:cs="Times New Roman"/>
                <w:bCs/>
                <w:sz w:val="24"/>
                <w:szCs w:val="24"/>
              </w:rPr>
              <w:t xml:space="preserve">- обеспечение устойчивого развития территорий на основе территориального планирования, Правил и документации по планировке территории; </w:t>
            </w:r>
          </w:p>
          <w:p w:rsidR="00987F56" w:rsidRPr="00930E59" w:rsidRDefault="00987F56" w:rsidP="00202867">
            <w:pPr>
              <w:pStyle w:val="ConsPlusNonformat"/>
              <w:jc w:val="both"/>
              <w:rPr>
                <w:rFonts w:ascii="Times New Roman" w:hAnsi="Times New Roman" w:cs="Times New Roman"/>
                <w:bCs/>
                <w:sz w:val="24"/>
                <w:szCs w:val="24"/>
              </w:rPr>
            </w:pPr>
            <w:r w:rsidRPr="009705BD">
              <w:rPr>
                <w:rFonts w:ascii="Times New Roman" w:hAnsi="Times New Roman" w:cs="Times New Roman"/>
                <w:bCs/>
                <w:sz w:val="24"/>
                <w:szCs w:val="24"/>
              </w:rPr>
              <w:t>- возможность комплексного развития территорий.</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9.</w:t>
            </w:r>
          </w:p>
        </w:tc>
        <w:tc>
          <w:tcPr>
            <w:tcW w:w="4522" w:type="dxa"/>
          </w:tcPr>
          <w:p w:rsidR="00987F56" w:rsidRPr="00930E59" w:rsidRDefault="00987F56" w:rsidP="00202867">
            <w:pPr>
              <w:widowControl w:val="0"/>
              <w:autoSpaceDE w:val="0"/>
              <w:autoSpaceDN w:val="0"/>
              <w:adjustRightInd w:val="0"/>
              <w:jc w:val="both"/>
              <w:rPr>
                <w:rFonts w:cs="Times New Roman"/>
                <w:bCs/>
              </w:rPr>
            </w:pPr>
            <w:r w:rsidRPr="00930E59">
              <w:rPr>
                <w:rFonts w:cs="Times New Roman"/>
                <w:bCs/>
              </w:rPr>
              <w:t xml:space="preserve">Индикативные показатели и иные способы (методы) оценки достижения заявленных целей регулирования, </w:t>
            </w:r>
          </w:p>
          <w:p w:rsidR="00987F56" w:rsidRPr="00930E59" w:rsidRDefault="00987F56" w:rsidP="00202867">
            <w:pPr>
              <w:widowControl w:val="0"/>
              <w:autoSpaceDE w:val="0"/>
              <w:autoSpaceDN w:val="0"/>
              <w:adjustRightInd w:val="0"/>
              <w:jc w:val="both"/>
              <w:rPr>
                <w:rFonts w:cs="Times New Roman"/>
                <w:bCs/>
              </w:rPr>
            </w:pPr>
            <w:r w:rsidRPr="00930E59">
              <w:rPr>
                <w:rFonts w:cs="Times New Roman"/>
                <w:bCs/>
              </w:rPr>
              <w:t>их прогнозные значения по годам</w:t>
            </w:r>
          </w:p>
        </w:tc>
        <w:tc>
          <w:tcPr>
            <w:tcW w:w="4253" w:type="dxa"/>
          </w:tcPr>
          <w:p w:rsidR="00987F56"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1. Установление территориальных зон в соответствии с требованиями законодательства;</w:t>
            </w:r>
          </w:p>
          <w:p w:rsidR="00987F56"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 xml:space="preserve">2. Регулирование параметров </w:t>
            </w:r>
            <w:r>
              <w:rPr>
                <w:rFonts w:ascii="Times New Roman" w:hAnsi="Times New Roman" w:cs="Times New Roman"/>
                <w:bCs/>
                <w:sz w:val="24"/>
                <w:szCs w:val="24"/>
              </w:rPr>
              <w:lastRenderedPageBreak/>
              <w:t>разрешенного строительства объектов</w:t>
            </w:r>
          </w:p>
          <w:p w:rsidR="00987F56"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3. Регулирование землепользования на территории городского округа</w:t>
            </w:r>
          </w:p>
          <w:p w:rsidR="00987F56"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4. Рациональное использование ограниченных земельных ресурсов</w:t>
            </w:r>
          </w:p>
          <w:p w:rsidR="00987F56" w:rsidRPr="00930E59" w:rsidRDefault="00987F56" w:rsidP="00202867">
            <w:pPr>
              <w:pStyle w:val="ConsPlusNonformat"/>
              <w:jc w:val="both"/>
              <w:rPr>
                <w:rFonts w:ascii="Times New Roman" w:hAnsi="Times New Roman" w:cs="Times New Roman"/>
                <w:bCs/>
                <w:sz w:val="24"/>
                <w:szCs w:val="24"/>
              </w:rPr>
            </w:pP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lastRenderedPageBreak/>
              <w:t>10.</w:t>
            </w:r>
          </w:p>
        </w:tc>
        <w:tc>
          <w:tcPr>
            <w:tcW w:w="4522" w:type="dxa"/>
          </w:tcPr>
          <w:p w:rsidR="00987F56" w:rsidRPr="00930E59" w:rsidRDefault="00987F56" w:rsidP="00202867">
            <w:pPr>
              <w:widowControl w:val="0"/>
              <w:autoSpaceDE w:val="0"/>
              <w:autoSpaceDN w:val="0"/>
              <w:adjustRightInd w:val="0"/>
              <w:jc w:val="both"/>
              <w:rPr>
                <w:rFonts w:cs="Times New Roman"/>
                <w:bCs/>
              </w:rPr>
            </w:pPr>
            <w:r w:rsidRPr="00930E59">
              <w:rPr>
                <w:rFonts w:cs="Times New Roman"/>
                <w:bCs/>
              </w:rPr>
              <w:t>Предполагаемая дата вступления в силу проекта акта, необходимость установления переходных положений (переходного периода);</w:t>
            </w:r>
          </w:p>
        </w:tc>
        <w:tc>
          <w:tcPr>
            <w:tcW w:w="4253" w:type="dxa"/>
          </w:tcPr>
          <w:p w:rsidR="00987F56" w:rsidRPr="00930E59"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март 2026 года</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11.</w:t>
            </w:r>
          </w:p>
        </w:tc>
        <w:tc>
          <w:tcPr>
            <w:tcW w:w="4522" w:type="dxa"/>
          </w:tcPr>
          <w:p w:rsidR="00987F56" w:rsidRPr="00930E59" w:rsidRDefault="00987F56" w:rsidP="00202867">
            <w:pPr>
              <w:widowControl w:val="0"/>
              <w:autoSpaceDE w:val="0"/>
              <w:autoSpaceDN w:val="0"/>
              <w:adjustRightInd w:val="0"/>
              <w:jc w:val="both"/>
              <w:rPr>
                <w:rFonts w:cs="Times New Roman"/>
                <w:bCs/>
              </w:rPr>
            </w:pPr>
            <w:r w:rsidRPr="00930E59">
              <w:rPr>
                <w:rFonts w:cs="Times New Roman"/>
                <w:bCs/>
              </w:rPr>
              <w:t>Иные сведения, которые, по мнению разработчика, позволяют оценить обоснованность правового регулирования</w:t>
            </w:r>
          </w:p>
        </w:tc>
        <w:tc>
          <w:tcPr>
            <w:tcW w:w="4253" w:type="dxa"/>
          </w:tcPr>
          <w:p w:rsidR="00987F56" w:rsidRPr="00930E59" w:rsidRDefault="00987F56" w:rsidP="00202867">
            <w:pPr>
              <w:pStyle w:val="ConsPlusNonformat"/>
              <w:jc w:val="both"/>
              <w:rPr>
                <w:rFonts w:ascii="Times New Roman" w:hAnsi="Times New Roman" w:cs="Times New Roman"/>
                <w:bCs/>
                <w:sz w:val="24"/>
                <w:szCs w:val="24"/>
              </w:rPr>
            </w:pPr>
            <w:r w:rsidRPr="009705BD">
              <w:rPr>
                <w:rFonts w:ascii="Times New Roman" w:hAnsi="Times New Roman" w:cs="Times New Roman"/>
                <w:bCs/>
                <w:sz w:val="24"/>
                <w:szCs w:val="24"/>
              </w:rPr>
              <w:t xml:space="preserve">Проектом правового акта предусмотрены новые обязанности для субъектов предпринимательской и инвестиционной деятельности в части </w:t>
            </w:r>
            <w:proofErr w:type="gramStart"/>
            <w:r w:rsidRPr="009705BD">
              <w:rPr>
                <w:rFonts w:ascii="Times New Roman" w:hAnsi="Times New Roman" w:cs="Times New Roman"/>
                <w:bCs/>
                <w:sz w:val="24"/>
                <w:szCs w:val="24"/>
              </w:rPr>
              <w:t>необходимости соблюдения</w:t>
            </w:r>
            <w:proofErr w:type="gramEnd"/>
            <w:r w:rsidRPr="009705BD">
              <w:rPr>
                <w:rFonts w:ascii="Times New Roman" w:hAnsi="Times New Roman" w:cs="Times New Roman"/>
                <w:bCs/>
                <w:sz w:val="24"/>
                <w:szCs w:val="24"/>
              </w:rPr>
              <w:t xml:space="preserve"> установленных для различных зон видов разрешенного использования, ограничений использования земельных участков. При этом требования, устанавливаемые Проектом правового акта, соответствуют федеральным нормам, принятие правового акта не повлечет последствий, ухудшающих условия ведения предпринимательской или инвестиционной деятельности.</w:t>
            </w:r>
          </w:p>
        </w:tc>
      </w:tr>
      <w:tr w:rsidR="00987F56" w:rsidRPr="00930E59" w:rsidTr="00202867">
        <w:tc>
          <w:tcPr>
            <w:tcW w:w="576" w:type="dxa"/>
          </w:tcPr>
          <w:p w:rsidR="00987F56" w:rsidRPr="00930E59" w:rsidRDefault="00987F56" w:rsidP="00202867">
            <w:pPr>
              <w:pStyle w:val="ConsPlusNonformat"/>
              <w:jc w:val="both"/>
              <w:rPr>
                <w:rFonts w:ascii="Times New Roman" w:hAnsi="Times New Roman" w:cs="Times New Roman"/>
                <w:bCs/>
                <w:sz w:val="24"/>
                <w:szCs w:val="24"/>
              </w:rPr>
            </w:pPr>
            <w:r w:rsidRPr="00930E59">
              <w:rPr>
                <w:rFonts w:ascii="Times New Roman" w:hAnsi="Times New Roman" w:cs="Times New Roman"/>
                <w:bCs/>
                <w:sz w:val="24"/>
                <w:szCs w:val="24"/>
              </w:rPr>
              <w:t>12.</w:t>
            </w:r>
          </w:p>
        </w:tc>
        <w:tc>
          <w:tcPr>
            <w:tcW w:w="4522" w:type="dxa"/>
          </w:tcPr>
          <w:p w:rsidR="00987F56" w:rsidRPr="00930E59" w:rsidRDefault="00987F56" w:rsidP="00202867">
            <w:pPr>
              <w:widowControl w:val="0"/>
              <w:autoSpaceDE w:val="0"/>
              <w:autoSpaceDN w:val="0"/>
              <w:adjustRightInd w:val="0"/>
              <w:jc w:val="both"/>
              <w:rPr>
                <w:rFonts w:cs="Times New Roman"/>
                <w:bCs/>
              </w:rPr>
            </w:pPr>
            <w:r w:rsidRPr="00930E59">
              <w:rPr>
                <w:rFonts w:cs="Times New Roman"/>
                <w:bCs/>
              </w:rPr>
              <w:t>Информация о сроках проведения публичных консультаций по проекту акта</w:t>
            </w:r>
          </w:p>
        </w:tc>
        <w:tc>
          <w:tcPr>
            <w:tcW w:w="4253" w:type="dxa"/>
          </w:tcPr>
          <w:p w:rsidR="00987F56" w:rsidRPr="00930E59" w:rsidRDefault="00987F56" w:rsidP="00202867">
            <w:pPr>
              <w:pStyle w:val="ConsPlusNonformat"/>
              <w:jc w:val="both"/>
              <w:rPr>
                <w:rFonts w:ascii="Times New Roman" w:hAnsi="Times New Roman" w:cs="Times New Roman"/>
                <w:bCs/>
                <w:sz w:val="24"/>
                <w:szCs w:val="24"/>
              </w:rPr>
            </w:pPr>
            <w:r>
              <w:rPr>
                <w:rFonts w:ascii="Times New Roman" w:hAnsi="Times New Roman" w:cs="Times New Roman"/>
                <w:bCs/>
                <w:sz w:val="24"/>
                <w:szCs w:val="24"/>
              </w:rPr>
              <w:t>25.02.2026 – 11.03.2026</w:t>
            </w:r>
          </w:p>
        </w:tc>
      </w:tr>
    </w:tbl>
    <w:p w:rsidR="00987F56" w:rsidRPr="00930E59" w:rsidRDefault="00987F56" w:rsidP="00987F56">
      <w:pPr>
        <w:pStyle w:val="ConsPlusNonformat"/>
        <w:jc w:val="both"/>
        <w:rPr>
          <w:rFonts w:ascii="Times New Roman" w:hAnsi="Times New Roman" w:cs="Times New Roman"/>
          <w:b/>
          <w:sz w:val="24"/>
          <w:szCs w:val="24"/>
        </w:rPr>
      </w:pPr>
    </w:p>
    <w:p w:rsidR="00987F56" w:rsidRDefault="00987F56" w:rsidP="00987F56">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управления архитектуры и</w:t>
      </w:r>
    </w:p>
    <w:p w:rsidR="00987F56" w:rsidRDefault="00987F56" w:rsidP="00987F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градостроительства: </w:t>
      </w:r>
      <w:r w:rsidRPr="00930E5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87F56" w:rsidRDefault="00987F56" w:rsidP="00987F56">
      <w:pPr>
        <w:pStyle w:val="ConsPlusNonformat"/>
        <w:ind w:firstLine="567"/>
        <w:jc w:val="both"/>
        <w:rPr>
          <w:rFonts w:ascii="Times New Roman" w:hAnsi="Times New Roman" w:cs="Times New Roman"/>
          <w:sz w:val="24"/>
          <w:szCs w:val="24"/>
        </w:rPr>
      </w:pPr>
    </w:p>
    <w:p w:rsidR="00987F56" w:rsidRPr="00930E59" w:rsidRDefault="00987F56" w:rsidP="00987F56">
      <w:pPr>
        <w:pStyle w:val="ConsPlusNonformat"/>
        <w:jc w:val="both"/>
        <w:rPr>
          <w:rFonts w:ascii="Times New Roman" w:hAnsi="Times New Roman" w:cs="Times New Roman"/>
        </w:rPr>
      </w:pPr>
      <w:r w:rsidRPr="00930E59">
        <w:rPr>
          <w:rFonts w:ascii="Times New Roman" w:hAnsi="Times New Roman" w:cs="Times New Roman"/>
          <w:sz w:val="24"/>
          <w:szCs w:val="24"/>
        </w:rPr>
        <w:t>___</w:t>
      </w:r>
      <w:r w:rsidRPr="009705BD">
        <w:rPr>
          <w:rFonts w:ascii="Times New Roman" w:hAnsi="Times New Roman" w:cs="Times New Roman"/>
          <w:sz w:val="24"/>
          <w:szCs w:val="24"/>
          <w:u w:val="single"/>
        </w:rPr>
        <w:t>Д.В. Булатов</w:t>
      </w:r>
      <w:r w:rsidRPr="00930E59">
        <w:rPr>
          <w:rFonts w:ascii="Times New Roman" w:hAnsi="Times New Roman" w:cs="Times New Roman"/>
          <w:sz w:val="24"/>
          <w:szCs w:val="24"/>
        </w:rPr>
        <w:t xml:space="preserve">________                 _________________               _________________  </w:t>
      </w:r>
      <w:r w:rsidRPr="00930E59">
        <w:rPr>
          <w:rFonts w:ascii="Times New Roman" w:hAnsi="Times New Roman" w:cs="Times New Roman"/>
        </w:rPr>
        <w:t xml:space="preserve">           </w:t>
      </w:r>
    </w:p>
    <w:p w:rsidR="00987F56" w:rsidRPr="00930E59" w:rsidRDefault="00987F56" w:rsidP="00987F56">
      <w:pPr>
        <w:pStyle w:val="ConsPlusNonformat"/>
        <w:jc w:val="both"/>
        <w:rPr>
          <w:rFonts w:ascii="Times New Roman" w:hAnsi="Times New Roman" w:cs="Times New Roman"/>
          <w:sz w:val="24"/>
          <w:szCs w:val="24"/>
        </w:rPr>
      </w:pPr>
      <w:r w:rsidRPr="00930E59">
        <w:rPr>
          <w:rFonts w:ascii="Times New Roman" w:hAnsi="Times New Roman" w:cs="Times New Roman"/>
        </w:rPr>
        <w:t xml:space="preserve">       (инициалы, </w:t>
      </w:r>
      <w:proofErr w:type="gramStart"/>
      <w:r w:rsidRPr="00930E59">
        <w:rPr>
          <w:rFonts w:ascii="Times New Roman" w:hAnsi="Times New Roman" w:cs="Times New Roman"/>
        </w:rPr>
        <w:t xml:space="preserve">фамилия)   </w:t>
      </w:r>
      <w:proofErr w:type="gramEnd"/>
      <w:r w:rsidRPr="00930E59">
        <w:rPr>
          <w:rFonts w:ascii="Times New Roman" w:hAnsi="Times New Roman" w:cs="Times New Roman"/>
        </w:rPr>
        <w:t xml:space="preserve">                                           Дата                                                   Подпись</w:t>
      </w:r>
    </w:p>
    <w:p w:rsidR="00987F56" w:rsidRPr="00930E59" w:rsidRDefault="00987F56" w:rsidP="00987F56">
      <w:pPr>
        <w:pStyle w:val="ConsPlusNormal"/>
        <w:jc w:val="center"/>
        <w:outlineLvl w:val="1"/>
        <w:rPr>
          <w:rFonts w:ascii="Times New Roman" w:hAnsi="Times New Roman" w:cs="Times New Roman"/>
          <w:color w:val="000000"/>
          <w:sz w:val="24"/>
          <w:szCs w:val="24"/>
        </w:rPr>
      </w:pPr>
      <w:bookmarkStart w:id="1" w:name="_GoBack"/>
      <w:bookmarkEnd w:id="1"/>
    </w:p>
    <w:sectPr w:rsidR="00987F56" w:rsidRPr="00930E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A0573"/>
    <w:multiLevelType w:val="hybridMultilevel"/>
    <w:tmpl w:val="75EA0DE6"/>
    <w:lvl w:ilvl="0" w:tplc="7770A6A8">
      <w:numFmt w:val="bullet"/>
      <w:lvlText w:val="–"/>
      <w:lvlJc w:val="left"/>
      <w:pPr>
        <w:ind w:left="112" w:hanging="200"/>
      </w:pPr>
      <w:rPr>
        <w:rFonts w:ascii="Times New Roman" w:eastAsia="Times New Roman" w:hAnsi="Times New Roman" w:cs="Times New Roman" w:hint="default"/>
        <w:w w:val="100"/>
        <w:sz w:val="24"/>
        <w:szCs w:val="24"/>
      </w:rPr>
    </w:lvl>
    <w:lvl w:ilvl="1" w:tplc="F266E7B8">
      <w:numFmt w:val="bullet"/>
      <w:lvlText w:val="-"/>
      <w:lvlJc w:val="left"/>
      <w:pPr>
        <w:ind w:left="112" w:hanging="573"/>
      </w:pPr>
      <w:rPr>
        <w:rFonts w:ascii="Times New Roman" w:eastAsia="Times New Roman" w:hAnsi="Times New Roman" w:cs="Times New Roman" w:hint="default"/>
        <w:spacing w:val="-29"/>
        <w:w w:val="99"/>
        <w:sz w:val="24"/>
        <w:szCs w:val="24"/>
      </w:rPr>
    </w:lvl>
    <w:lvl w:ilvl="2" w:tplc="3482C31E">
      <w:numFmt w:val="bullet"/>
      <w:lvlText w:val="•"/>
      <w:lvlJc w:val="left"/>
      <w:pPr>
        <w:ind w:left="2069" w:hanging="573"/>
      </w:pPr>
      <w:rPr>
        <w:rFonts w:hint="default"/>
      </w:rPr>
    </w:lvl>
    <w:lvl w:ilvl="3" w:tplc="E0B2C144">
      <w:numFmt w:val="bullet"/>
      <w:lvlText w:val="•"/>
      <w:lvlJc w:val="left"/>
      <w:pPr>
        <w:ind w:left="3044" w:hanging="573"/>
      </w:pPr>
      <w:rPr>
        <w:rFonts w:hint="default"/>
      </w:rPr>
    </w:lvl>
    <w:lvl w:ilvl="4" w:tplc="C712A94C">
      <w:numFmt w:val="bullet"/>
      <w:lvlText w:val="•"/>
      <w:lvlJc w:val="left"/>
      <w:pPr>
        <w:ind w:left="4019" w:hanging="573"/>
      </w:pPr>
      <w:rPr>
        <w:rFonts w:hint="default"/>
      </w:rPr>
    </w:lvl>
    <w:lvl w:ilvl="5" w:tplc="69D699FE">
      <w:numFmt w:val="bullet"/>
      <w:lvlText w:val="•"/>
      <w:lvlJc w:val="left"/>
      <w:pPr>
        <w:ind w:left="4994" w:hanging="573"/>
      </w:pPr>
      <w:rPr>
        <w:rFonts w:hint="default"/>
      </w:rPr>
    </w:lvl>
    <w:lvl w:ilvl="6" w:tplc="14DEDEC8">
      <w:numFmt w:val="bullet"/>
      <w:lvlText w:val="•"/>
      <w:lvlJc w:val="left"/>
      <w:pPr>
        <w:ind w:left="5968" w:hanging="573"/>
      </w:pPr>
      <w:rPr>
        <w:rFonts w:hint="default"/>
      </w:rPr>
    </w:lvl>
    <w:lvl w:ilvl="7" w:tplc="24C03E76">
      <w:numFmt w:val="bullet"/>
      <w:lvlText w:val="•"/>
      <w:lvlJc w:val="left"/>
      <w:pPr>
        <w:ind w:left="6943" w:hanging="573"/>
      </w:pPr>
      <w:rPr>
        <w:rFonts w:hint="default"/>
      </w:rPr>
    </w:lvl>
    <w:lvl w:ilvl="8" w:tplc="98E2AF4E">
      <w:numFmt w:val="bullet"/>
      <w:lvlText w:val="•"/>
      <w:lvlJc w:val="left"/>
      <w:pPr>
        <w:ind w:left="7918" w:hanging="57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56"/>
    <w:rsid w:val="008F24E6"/>
    <w:rsid w:val="0098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947A0-D0F4-4B3D-B99E-8D807F5E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F56"/>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87F5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987F56"/>
    <w:rPr>
      <w:rFonts w:ascii="Calibri" w:eastAsia="Times New Roman" w:hAnsi="Calibri" w:cs="Calibri"/>
      <w:szCs w:val="20"/>
      <w:lang w:eastAsia="ru-RU"/>
    </w:rPr>
  </w:style>
  <w:style w:type="table" w:styleId="a3">
    <w:name w:val="Table Grid"/>
    <w:basedOn w:val="a1"/>
    <w:rsid w:val="00987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qFormat/>
    <w:rsid w:val="00987F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aliases w:val="Имя рисунка"/>
    <w:basedOn w:val="a"/>
    <w:link w:val="a5"/>
    <w:uiPriority w:val="34"/>
    <w:qFormat/>
    <w:rsid w:val="00987F56"/>
    <w:pPr>
      <w:widowControl w:val="0"/>
      <w:autoSpaceDE w:val="0"/>
      <w:autoSpaceDN w:val="0"/>
      <w:ind w:left="108" w:firstLine="708"/>
      <w:jc w:val="both"/>
    </w:pPr>
    <w:rPr>
      <w:rFonts w:cs="Times New Roman"/>
      <w:sz w:val="22"/>
      <w:szCs w:val="22"/>
      <w:lang w:val="en-US" w:eastAsia="en-US"/>
    </w:rPr>
  </w:style>
  <w:style w:type="character" w:customStyle="1" w:styleId="a5">
    <w:name w:val="Абзац списка Знак"/>
    <w:aliases w:val="Имя рисунка Знак"/>
    <w:link w:val="a4"/>
    <w:uiPriority w:val="34"/>
    <w:rsid w:val="00987F56"/>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Сухарникова</dc:creator>
  <cp:keywords/>
  <dc:description/>
  <cp:lastModifiedBy>Елена Сухарникова</cp:lastModifiedBy>
  <cp:revision>1</cp:revision>
  <dcterms:created xsi:type="dcterms:W3CDTF">2026-02-26T15:11:00Z</dcterms:created>
  <dcterms:modified xsi:type="dcterms:W3CDTF">2026-02-26T15:11:00Z</dcterms:modified>
</cp:coreProperties>
</file>