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FA" w:rsidRPr="00C717FA" w:rsidRDefault="00C717FA" w:rsidP="00C71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7FA">
        <w:rPr>
          <w:rFonts w:ascii="Times New Roman" w:hAnsi="Times New Roman" w:cs="Times New Roman"/>
          <w:sz w:val="24"/>
          <w:szCs w:val="24"/>
        </w:rPr>
        <w:t>За нарушение требований к монтажу, эксплуатации, состоянию и содержанию детских, игровых и спортивных площадок, игрового и спортивного оборудования предусмотрена административная ответственность по ст. 6.19 Кодекса Московской области об административных правонарушениях. В 2024 году прокуратурой города возбуждено более 15 указанных дел об административных правонарушениях, виновным лицам назначены наказания в виде штрафов.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0D"/>
    <w:rsid w:val="00166365"/>
    <w:rsid w:val="002F4E0D"/>
    <w:rsid w:val="00C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8D53-8A51-4E8B-86E7-5CC1437C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