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34C" w:rsidRPr="0002134C" w:rsidRDefault="0002134C" w:rsidP="0002134C">
      <w:pPr>
        <w:rPr>
          <w:rFonts w:ascii="Times New Roman" w:hAnsi="Times New Roman" w:cs="Times New Roman"/>
          <w:sz w:val="28"/>
          <w:szCs w:val="28"/>
        </w:rPr>
      </w:pPr>
      <w:r w:rsidRPr="0002134C">
        <w:rPr>
          <w:rFonts w:ascii="Times New Roman" w:hAnsi="Times New Roman" w:cs="Times New Roman"/>
          <w:sz w:val="28"/>
          <w:szCs w:val="28"/>
        </w:rPr>
        <w:t>В 2022 году во всех субъектах РФ, за исключением присоединенных территорий, проведена новая государственная кадастровая оценка земельных участков всех категорий. Ее результаты применялись в налоговом периоде 2023 года с учетом установленных особенностей.</w:t>
      </w:r>
    </w:p>
    <w:p w:rsidR="0002134C" w:rsidRPr="0002134C" w:rsidRDefault="0002134C" w:rsidP="0002134C">
      <w:pPr>
        <w:rPr>
          <w:rFonts w:ascii="Times New Roman" w:hAnsi="Times New Roman" w:cs="Times New Roman"/>
          <w:sz w:val="28"/>
          <w:szCs w:val="28"/>
        </w:rPr>
      </w:pPr>
      <w:r w:rsidRPr="0002134C">
        <w:rPr>
          <w:rFonts w:ascii="Times New Roman" w:hAnsi="Times New Roman" w:cs="Times New Roman"/>
          <w:sz w:val="28"/>
          <w:szCs w:val="28"/>
        </w:rPr>
        <w:t>Сообщается, что с налогового периода 2024 года для исчисления налога должны применяться внесенные в ЕГРН результаты государственной кадастровой оценки, действующие на 01.01.2024, в том числе утвержденной в 2022 году.</w:t>
      </w: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A00BBD"/>
    <w:rsid w:val="00A20EE1"/>
    <w:rsid w:val="00A4377E"/>
    <w:rsid w:val="00AA4613"/>
    <w:rsid w:val="00AD30AD"/>
    <w:rsid w:val="00B07CB4"/>
    <w:rsid w:val="00C3742D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2024-06-27T17:23:00Z</dcterms:created>
  <dcterms:modified xsi:type="dcterms:W3CDTF">2024-06-27T17:23:00Z</dcterms:modified>
</cp:coreProperties>
</file>