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города Электростали Московской области разъясняет.</w:t>
      </w:r>
    </w:p>
    <w:p w14:paraId="02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before="0"/>
        <w:ind w:firstLine="540" w:left="0" w:right="0"/>
        <w:jc w:val="both"/>
        <w:rPr>
          <w:rFonts w:ascii="Times New Roman" w:hAnsi="Times New Roman"/>
          <w:b w:val="1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Минтруд утвердил новые предельные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000000"/>
          <w:sz w:val="28"/>
          <w:u w:color="000000" w:val="none"/>
        </w:rPr>
        <w:t>нормы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 xml:space="preserve">переноски и передвижения тяжестей работниками в возрасте до 18 лет, которые начали применяться с 01.03.2026.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(</w:t>
      </w:r>
      <w:r>
        <w:rPr>
          <w:rFonts w:ascii="Times New Roman" w:hAnsi="Times New Roman"/>
          <w:b w:val="1"/>
          <w:i w:val="0"/>
          <w:strike w:val="0"/>
          <w:color w:val="000000"/>
          <w:sz w:val="28"/>
          <w:u w:color="000000" w:val="none"/>
        </w:rPr>
        <w:t>Приказ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 xml:space="preserve">Минтруда от 10.06.2025 N 369н «Об утверждении предельных норм </w:t>
      </w: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 xml:space="preserve"> переноски и передвижения тяжестей работниками в возрасте до восемнадцати лет»</w:t>
      </w:r>
    </w:p>
    <w:p w14:paraId="04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 </w:t>
      </w:r>
    </w:p>
    <w:p w14:paraId="05000000">
      <w:pPr>
        <w:widowControl w:val="1"/>
        <w:spacing w:after="0" w:before="0"/>
        <w:ind w:firstLine="540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В соответствии со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статьей 265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Трудового кодекса Российской Федерации и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подпунктом 5.2.21 пункта 5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14:paraId="06000000">
      <w:pPr>
        <w:widowControl w:val="1"/>
        <w:spacing w:after="0" w:before="168"/>
        <w:ind w:firstLine="540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1. Утвердить предельные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нормы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переноски и передвижения тяжестей работниками в возрасте до восемнадцати лет согласно приложению к настоящему приказу.</w:t>
      </w:r>
    </w:p>
    <w:p w14:paraId="07000000">
      <w:pPr>
        <w:widowControl w:val="1"/>
        <w:spacing w:after="0" w:before="168"/>
        <w:ind w:firstLine="540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2. Признать утратившим силу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постановление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Министерства труда и социального развития Российской Федерации от 7 апреля 1999 г. N 7 "Об утверждении Норм предельно допустимых нагрузок для лиц моложе восемнадцати лет при подъеме и перемещении тяжестей вручную" (зарегистрировано Министерством юстиции Российской Федерации 1 июля 1999 г., регистрационный N 1817).</w:t>
      </w:r>
    </w:p>
    <w:p w14:paraId="08000000">
      <w:pPr>
        <w:widowControl w:val="1"/>
        <w:spacing w:after="0" w:before="168"/>
        <w:ind w:firstLine="540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3. Установить, что настоящий приказ вступает в силу с 1 марта 2026 г. и действует до 1 марта 2032 г.</w:t>
      </w:r>
    </w:p>
    <w:p w14:paraId="09000000">
      <w:pPr>
        <w:widowControl w:val="1"/>
        <w:spacing w:after="0" w:before="0"/>
        <w:ind w:firstLine="540" w:left="0" w:right="0"/>
        <w:jc w:val="both"/>
        <w:rPr>
          <w:b w:val="0"/>
          <w:i w:val="0"/>
          <w:color w:val="000000"/>
          <w:u w:val="none"/>
        </w:rPr>
      </w:pPr>
      <w:r>
        <w:rPr>
          <w:b w:val="0"/>
          <w:i w:val="0"/>
          <w:color w:val="000000"/>
          <w:u w:val="none"/>
        </w:rPr>
        <w:t> </w:t>
      </w:r>
    </w:p>
    <w:p w14:paraId="0A000000">
      <w:pPr>
        <w:widowControl w:val="1"/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 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             </w:t>
      </w:r>
      <w:r>
        <w:rPr>
          <w:b w:val="0"/>
        </w:rPr>
        <w:t>Приложение</w:t>
      </w:r>
    </w:p>
    <w:p w14:paraId="0B000000">
      <w:pPr>
        <w:widowControl w:val="1"/>
        <w:spacing w:after="0" w:before="0"/>
        <w:ind w:firstLine="0" w:left="0" w:right="0"/>
        <w:jc w:val="right"/>
        <w:rPr>
          <w:b w:val="0"/>
        </w:rPr>
      </w:pPr>
      <w:r>
        <w:rPr>
          <w:b w:val="0"/>
        </w:rPr>
        <w:t>к приказу Министерства труда</w:t>
      </w:r>
    </w:p>
    <w:p w14:paraId="0C000000">
      <w:pPr>
        <w:widowControl w:val="1"/>
        <w:spacing w:after="0" w:before="0"/>
        <w:ind w:firstLine="0" w:left="0" w:right="0"/>
        <w:jc w:val="right"/>
        <w:rPr>
          <w:b w:val="0"/>
        </w:rPr>
      </w:pPr>
      <w:r>
        <w:rPr>
          <w:b w:val="0"/>
        </w:rPr>
        <w:t>и социальной защиты</w:t>
      </w:r>
    </w:p>
    <w:p w14:paraId="0D000000">
      <w:pPr>
        <w:widowControl w:val="1"/>
        <w:spacing w:after="0" w:before="0"/>
        <w:ind w:firstLine="0" w:left="0" w:right="0"/>
        <w:jc w:val="right"/>
        <w:rPr>
          <w:b w:val="0"/>
        </w:rPr>
      </w:pPr>
      <w:r>
        <w:rPr>
          <w:b w:val="0"/>
        </w:rPr>
        <w:t>Российской Федерации</w:t>
      </w:r>
    </w:p>
    <w:p w14:paraId="0E000000">
      <w:pPr>
        <w:widowControl w:val="1"/>
        <w:spacing w:after="0" w:before="0"/>
        <w:ind w:firstLine="0" w:left="0" w:right="0"/>
        <w:jc w:val="right"/>
        <w:rPr>
          <w:b w:val="0"/>
        </w:rPr>
      </w:pPr>
      <w:r>
        <w:rPr>
          <w:b w:val="0"/>
        </w:rPr>
        <w:t>от 10 июня 2025 г. N 369н</w:t>
      </w:r>
    </w:p>
    <w:p w14:paraId="0F000000">
      <w:pPr>
        <w:widowControl w:val="1"/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 </w:t>
      </w:r>
    </w:p>
    <w:p w14:paraId="10000000">
      <w:pPr>
        <w:widowControl w:val="1"/>
        <w:spacing w:after="0" w:before="0"/>
        <w:ind w:firstLine="0" w:left="0" w:right="0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ПРЕДЕЛЬНЫЕ НОРМЫ</w:t>
      </w:r>
    </w:p>
    <w:p w14:paraId="11000000">
      <w:pPr>
        <w:widowControl w:val="1"/>
        <w:spacing w:after="0" w:before="0"/>
        <w:ind w:firstLine="0" w:left="0" w:right="0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ПЕРЕНОСКИ И ПЕРЕДВИЖЕНИЯ ТЯЖЕСТЕЙ РАБОТНИКАМИ В ВОЗРАСТЕ</w:t>
      </w:r>
    </w:p>
    <w:p w14:paraId="12000000">
      <w:pPr>
        <w:widowControl w:val="1"/>
        <w:spacing w:after="0" w:before="0"/>
        <w:ind w:firstLine="0" w:left="0" w:right="0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ДО ВОСЕМНАДЦАТИ ЛЕТ</w:t>
      </w:r>
    </w:p>
    <w:p w14:paraId="13000000">
      <w:pPr>
        <w:widowControl w:val="1"/>
        <w:spacing w:after="0" w:before="0"/>
        <w:ind w:firstLine="0" w:left="0" w:right="0"/>
        <w:jc w:val="center"/>
      </w:pPr>
      <w:r>
        <w:t> 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2415"/>
        <w:gridCol w:w="825"/>
        <w:gridCol w:w="825"/>
        <w:gridCol w:w="825"/>
        <w:gridCol w:w="825"/>
        <w:gridCol w:w="825"/>
        <w:gridCol w:w="825"/>
        <w:gridCol w:w="825"/>
        <w:gridCol w:w="840"/>
      </w:tblGrid>
      <w:tr>
        <w:tc>
          <w:tcPr>
            <w:tcW w:type="dxa" w:w="241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4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Характер работы, показатели тяжести труда</w:t>
            </w:r>
          </w:p>
        </w:tc>
        <w:tc>
          <w:tcPr>
            <w:tcW w:type="dxa" w:w="6615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5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Предельно допустимая масса груза, включая массу тары и упаковки (кг)</w:t>
            </w:r>
          </w:p>
        </w:tc>
      </w:tr>
      <w:tr>
        <w:tc>
          <w:tcPr>
            <w:tcW w:type="dxa" w:w="241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33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6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Юноши</w:t>
            </w:r>
          </w:p>
        </w:tc>
        <w:tc>
          <w:tcPr>
            <w:tcW w:type="dxa" w:w="3315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7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Девушки</w:t>
            </w:r>
          </w:p>
        </w:tc>
      </w:tr>
      <w:tr>
        <w:tc>
          <w:tcPr>
            <w:tcW w:type="dxa" w:w="241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8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14 лет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9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15 лет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A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16 лет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B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17 лет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C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14 лет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D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15 лет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E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16 лет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F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17 лет</w:t>
            </w:r>
          </w:p>
        </w:tc>
      </w:tr>
      <w:tr>
        <w:tc>
          <w:tcPr>
            <w:tcW w:type="dxa" w:w="24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0000000">
            <w:pPr>
              <w:widowControl w:val="1"/>
              <w:spacing w:after="0" w:before="0"/>
              <w:ind w:firstLine="0" w:left="0" w:right="0"/>
              <w:jc w:val="both"/>
              <w:rPr>
                <w:b w:val="0"/>
              </w:rPr>
            </w:pPr>
            <w:r>
              <w:rPr>
                <w:b w:val="0"/>
              </w:rPr>
              <w:t>Подъем и перемещение вручную груза постоянно в течение рабочей смены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1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3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2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3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3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4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4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4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5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2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6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2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7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3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8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3</w:t>
            </w:r>
          </w:p>
        </w:tc>
      </w:tr>
      <w:tr>
        <w:tc>
          <w:tcPr>
            <w:tcW w:type="dxa" w:w="2415"/>
            <w:tcBorders>
              <w:top w:color="000000" w:sz="6" w:val="single"/>
              <w:left w:color="000000" w:sz="6" w:val="single"/>
              <w:right w:color="000000" w:sz="6" w:val="single"/>
            </w:tcBorders>
            <w:vAlign w:val="top"/>
          </w:tcPr>
          <w:p w14:paraId="29000000">
            <w:pPr>
              <w:widowControl w:val="1"/>
              <w:spacing w:after="0" w:before="0"/>
              <w:ind w:firstLine="0" w:left="0" w:right="0"/>
              <w:jc w:val="both"/>
              <w:rPr>
                <w:b w:val="0"/>
              </w:rPr>
            </w:pPr>
            <w:r>
              <w:rPr>
                <w:b w:val="0"/>
              </w:rPr>
              <w:t>Подъем и перемещение груза вручную в течение не более 1/3 рабочей смены: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right w:color="000000" w:sz="6" w:val="single"/>
            </w:tcBorders>
            <w:vAlign w:val="top"/>
          </w:tcPr>
          <w:p w14:paraId="2A000000">
            <w:pPr>
              <w:widowControl w:val="1"/>
              <w:spacing w:after="0" w:before="0"/>
              <w:ind w:firstLine="0" w:left="0" w:right="0"/>
              <w:jc w:val="both"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right w:color="000000" w:sz="6" w:val="single"/>
            </w:tcBorders>
            <w:vAlign w:val="top"/>
          </w:tcPr>
          <w:p w14:paraId="2B000000">
            <w:pPr>
              <w:widowControl w:val="1"/>
              <w:spacing w:after="0" w:before="0"/>
              <w:ind w:firstLine="0" w:left="0" w:right="0"/>
              <w:jc w:val="both"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right w:color="000000" w:sz="6" w:val="single"/>
            </w:tcBorders>
            <w:vAlign w:val="top"/>
          </w:tcPr>
          <w:p w14:paraId="2C000000">
            <w:pPr>
              <w:widowControl w:val="1"/>
              <w:spacing w:after="0" w:before="0"/>
              <w:ind w:firstLine="0" w:left="0" w:right="0"/>
              <w:jc w:val="both"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right w:color="000000" w:sz="6" w:val="single"/>
            </w:tcBorders>
            <w:vAlign w:val="top"/>
          </w:tcPr>
          <w:p w14:paraId="2D000000">
            <w:pPr>
              <w:widowControl w:val="1"/>
              <w:spacing w:after="0" w:before="0"/>
              <w:ind w:firstLine="0" w:left="0" w:right="0"/>
              <w:jc w:val="both"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right w:color="000000" w:sz="6" w:val="single"/>
            </w:tcBorders>
            <w:vAlign w:val="top"/>
          </w:tcPr>
          <w:p w14:paraId="2E000000">
            <w:pPr>
              <w:widowControl w:val="1"/>
              <w:spacing w:after="0" w:before="0"/>
              <w:ind w:firstLine="0" w:left="0" w:right="0"/>
              <w:jc w:val="both"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right w:color="000000" w:sz="6" w:val="single"/>
            </w:tcBorders>
            <w:vAlign w:val="top"/>
          </w:tcPr>
          <w:p w14:paraId="2F000000">
            <w:pPr>
              <w:widowControl w:val="1"/>
              <w:spacing w:after="0" w:before="0"/>
              <w:ind w:firstLine="0" w:left="0" w:right="0"/>
              <w:jc w:val="both"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right w:color="000000" w:sz="6" w:val="single"/>
            </w:tcBorders>
            <w:vAlign w:val="top"/>
          </w:tcPr>
          <w:p w14:paraId="30000000">
            <w:pPr>
              <w:widowControl w:val="1"/>
              <w:spacing w:after="0" w:before="0"/>
              <w:ind w:firstLine="0" w:left="0" w:right="0"/>
              <w:jc w:val="both"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right w:color="000000" w:sz="6" w:val="single"/>
            </w:tcBorders>
            <w:vAlign w:val="top"/>
          </w:tcPr>
          <w:p w14:paraId="31000000">
            <w:pPr>
              <w:widowControl w:val="1"/>
              <w:spacing w:after="0" w:before="0"/>
              <w:ind w:firstLine="0" w:left="0" w:right="0"/>
              <w:jc w:val="both"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</w:tr>
      <w:tr>
        <w:tc>
          <w:tcPr>
            <w:tcW w:type="dxa" w:w="2415"/>
            <w:tcBorders>
              <w:left w:color="000000" w:sz="6" w:val="single"/>
              <w:right w:color="000000" w:sz="6" w:val="single"/>
            </w:tcBorders>
            <w:vAlign w:val="top"/>
          </w:tcPr>
          <w:p w14:paraId="32000000">
            <w:pPr>
              <w:widowControl w:val="1"/>
              <w:spacing w:after="0" w:before="0"/>
              <w:ind w:firstLine="0" w:left="0" w:right="0"/>
              <w:jc w:val="both"/>
              <w:rPr>
                <w:b w:val="0"/>
              </w:rPr>
            </w:pPr>
            <w:r>
              <w:rPr>
                <w:b w:val="0"/>
              </w:rPr>
              <w:t>постоянно</w:t>
            </w:r>
          </w:p>
          <w:p w14:paraId="33000000">
            <w:pPr>
              <w:widowControl w:val="1"/>
              <w:spacing w:after="0" w:before="0"/>
              <w:ind w:firstLine="0" w:left="0" w:right="0"/>
              <w:jc w:val="both"/>
              <w:rPr>
                <w:b w:val="0"/>
              </w:rPr>
            </w:pPr>
            <w:r>
              <w:rPr>
                <w:b w:val="0"/>
              </w:rPr>
              <w:t>(более 2 раз в час)</w:t>
            </w:r>
          </w:p>
        </w:tc>
        <w:tc>
          <w:tcPr>
            <w:tcW w:type="dxa" w:w="825"/>
            <w:tcBorders>
              <w:left w:color="000000" w:sz="6" w:val="single"/>
              <w:right w:color="000000" w:sz="6" w:val="single"/>
            </w:tcBorders>
            <w:vAlign w:val="top"/>
          </w:tcPr>
          <w:p w14:paraId="34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6</w:t>
            </w:r>
          </w:p>
        </w:tc>
        <w:tc>
          <w:tcPr>
            <w:tcW w:type="dxa" w:w="825"/>
            <w:tcBorders>
              <w:left w:color="000000" w:sz="6" w:val="single"/>
              <w:right w:color="000000" w:sz="6" w:val="single"/>
            </w:tcBorders>
            <w:vAlign w:val="top"/>
          </w:tcPr>
          <w:p w14:paraId="35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7</w:t>
            </w:r>
          </w:p>
        </w:tc>
        <w:tc>
          <w:tcPr>
            <w:tcW w:type="dxa" w:w="825"/>
            <w:tcBorders>
              <w:left w:color="000000" w:sz="6" w:val="single"/>
              <w:right w:color="000000" w:sz="6" w:val="single"/>
            </w:tcBorders>
            <w:vAlign w:val="top"/>
          </w:tcPr>
          <w:p w14:paraId="36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11</w:t>
            </w:r>
          </w:p>
        </w:tc>
        <w:tc>
          <w:tcPr>
            <w:tcW w:type="dxa" w:w="825"/>
            <w:tcBorders>
              <w:left w:color="000000" w:sz="6" w:val="single"/>
              <w:right w:color="000000" w:sz="6" w:val="single"/>
            </w:tcBorders>
            <w:vAlign w:val="top"/>
          </w:tcPr>
          <w:p w14:paraId="37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13</w:t>
            </w:r>
          </w:p>
        </w:tc>
        <w:tc>
          <w:tcPr>
            <w:tcW w:type="dxa" w:w="825"/>
            <w:tcBorders>
              <w:left w:color="000000" w:sz="6" w:val="single"/>
              <w:right w:color="000000" w:sz="6" w:val="single"/>
            </w:tcBorders>
            <w:vAlign w:val="top"/>
          </w:tcPr>
          <w:p w14:paraId="38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3</w:t>
            </w:r>
          </w:p>
        </w:tc>
        <w:tc>
          <w:tcPr>
            <w:tcW w:type="dxa" w:w="825"/>
            <w:tcBorders>
              <w:left w:color="000000" w:sz="6" w:val="single"/>
              <w:right w:color="000000" w:sz="6" w:val="single"/>
            </w:tcBorders>
            <w:vAlign w:val="top"/>
          </w:tcPr>
          <w:p w14:paraId="39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4</w:t>
            </w:r>
          </w:p>
        </w:tc>
        <w:tc>
          <w:tcPr>
            <w:tcW w:type="dxa" w:w="825"/>
            <w:tcBorders>
              <w:left w:color="000000" w:sz="6" w:val="single"/>
              <w:right w:color="000000" w:sz="6" w:val="single"/>
            </w:tcBorders>
            <w:vAlign w:val="top"/>
          </w:tcPr>
          <w:p w14:paraId="3A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5</w:t>
            </w:r>
          </w:p>
        </w:tc>
        <w:tc>
          <w:tcPr>
            <w:tcW w:type="dxa" w:w="840"/>
            <w:tcBorders>
              <w:left w:color="000000" w:sz="6" w:val="single"/>
              <w:right w:color="000000" w:sz="6" w:val="single"/>
            </w:tcBorders>
            <w:vAlign w:val="top"/>
          </w:tcPr>
          <w:p w14:paraId="3B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6</w:t>
            </w:r>
          </w:p>
        </w:tc>
      </w:tr>
      <w:tr>
        <w:tc>
          <w:tcPr>
            <w:tcW w:type="dxa" w:w="2415"/>
            <w:tcBorders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C000000">
            <w:pPr>
              <w:widowControl w:val="1"/>
              <w:spacing w:after="0" w:before="0"/>
              <w:ind w:firstLine="0" w:left="0" w:right="0"/>
              <w:jc w:val="both"/>
              <w:rPr>
                <w:b w:val="0"/>
              </w:rPr>
            </w:pPr>
            <w:r>
              <w:rPr>
                <w:b w:val="0"/>
              </w:rPr>
              <w:t>при чередовании с другой работой</w:t>
            </w:r>
          </w:p>
          <w:p w14:paraId="3D000000">
            <w:pPr>
              <w:widowControl w:val="1"/>
              <w:spacing w:after="0" w:before="0"/>
              <w:ind w:firstLine="0" w:left="0" w:right="0"/>
              <w:jc w:val="both"/>
              <w:rPr>
                <w:b w:val="0"/>
              </w:rPr>
            </w:pPr>
            <w:r>
              <w:rPr>
                <w:b w:val="0"/>
              </w:rPr>
              <w:t>(до 2 раз в час)</w:t>
            </w:r>
          </w:p>
        </w:tc>
        <w:tc>
          <w:tcPr>
            <w:tcW w:type="dxa" w:w="825"/>
            <w:tcBorders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E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12</w:t>
            </w:r>
          </w:p>
        </w:tc>
        <w:tc>
          <w:tcPr>
            <w:tcW w:type="dxa" w:w="825"/>
            <w:tcBorders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F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15</w:t>
            </w:r>
          </w:p>
        </w:tc>
        <w:tc>
          <w:tcPr>
            <w:tcW w:type="dxa" w:w="825"/>
            <w:tcBorders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0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20</w:t>
            </w:r>
          </w:p>
        </w:tc>
        <w:tc>
          <w:tcPr>
            <w:tcW w:type="dxa" w:w="825"/>
            <w:tcBorders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1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24</w:t>
            </w:r>
          </w:p>
        </w:tc>
        <w:tc>
          <w:tcPr>
            <w:tcW w:type="dxa" w:w="825"/>
            <w:tcBorders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2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4</w:t>
            </w:r>
          </w:p>
        </w:tc>
        <w:tc>
          <w:tcPr>
            <w:tcW w:type="dxa" w:w="825"/>
            <w:tcBorders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3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5</w:t>
            </w:r>
          </w:p>
        </w:tc>
        <w:tc>
          <w:tcPr>
            <w:tcW w:type="dxa" w:w="825"/>
            <w:tcBorders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4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7</w:t>
            </w:r>
          </w:p>
        </w:tc>
        <w:tc>
          <w:tcPr>
            <w:tcW w:type="dxa" w:w="840"/>
            <w:tcBorders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5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8</w:t>
            </w:r>
          </w:p>
        </w:tc>
      </w:tr>
      <w:tr>
        <w:tc>
          <w:tcPr>
            <w:tcW w:type="dxa" w:w="2415"/>
            <w:tcBorders>
              <w:top w:color="000000" w:sz="6" w:val="single"/>
              <w:left w:color="000000" w:sz="6" w:val="single"/>
              <w:right w:color="000000" w:sz="6" w:val="single"/>
            </w:tcBorders>
            <w:vAlign w:val="top"/>
          </w:tcPr>
          <w:p w14:paraId="46000000">
            <w:pPr>
              <w:widowControl w:val="1"/>
              <w:spacing w:after="0" w:before="0"/>
              <w:ind w:firstLine="0" w:left="0" w:right="0"/>
              <w:jc w:val="both"/>
              <w:rPr>
                <w:b w:val="0"/>
              </w:rPr>
            </w:pPr>
            <w:r>
              <w:rPr>
                <w:b w:val="0"/>
              </w:rPr>
              <w:t>Суммарная масса груза, перемещаемого в течение смены: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right w:color="000000" w:sz="6" w:val="single"/>
            </w:tcBorders>
            <w:vAlign w:val="top"/>
          </w:tcPr>
          <w:p w14:paraId="47000000">
            <w:pPr>
              <w:widowControl w:val="1"/>
              <w:spacing w:after="0" w:before="0"/>
              <w:ind w:firstLine="0" w:left="0" w:right="0"/>
              <w:jc w:val="both"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right w:color="000000" w:sz="6" w:val="single"/>
            </w:tcBorders>
            <w:vAlign w:val="top"/>
          </w:tcPr>
          <w:p w14:paraId="48000000">
            <w:pPr>
              <w:widowControl w:val="1"/>
              <w:spacing w:after="0" w:before="0"/>
              <w:ind w:firstLine="0" w:left="0" w:right="0"/>
              <w:jc w:val="both"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right w:color="000000" w:sz="6" w:val="single"/>
            </w:tcBorders>
            <w:vAlign w:val="top"/>
          </w:tcPr>
          <w:p w14:paraId="49000000">
            <w:pPr>
              <w:widowControl w:val="1"/>
              <w:spacing w:after="0" w:before="0"/>
              <w:ind w:firstLine="0" w:left="0" w:right="0"/>
              <w:jc w:val="both"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right w:color="000000" w:sz="6" w:val="single"/>
            </w:tcBorders>
            <w:vAlign w:val="top"/>
          </w:tcPr>
          <w:p w14:paraId="4A000000">
            <w:pPr>
              <w:widowControl w:val="1"/>
              <w:spacing w:after="0" w:before="0"/>
              <w:ind w:firstLine="0" w:left="0" w:right="0"/>
              <w:jc w:val="both"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right w:color="000000" w:sz="6" w:val="single"/>
            </w:tcBorders>
            <w:vAlign w:val="top"/>
          </w:tcPr>
          <w:p w14:paraId="4B000000">
            <w:pPr>
              <w:widowControl w:val="1"/>
              <w:spacing w:after="0" w:before="0"/>
              <w:ind w:firstLine="0" w:left="0" w:right="0"/>
              <w:jc w:val="both"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right w:color="000000" w:sz="6" w:val="single"/>
            </w:tcBorders>
            <w:vAlign w:val="top"/>
          </w:tcPr>
          <w:p w14:paraId="4C000000">
            <w:pPr>
              <w:widowControl w:val="1"/>
              <w:spacing w:after="0" w:before="0"/>
              <w:ind w:firstLine="0" w:left="0" w:right="0"/>
              <w:jc w:val="both"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right w:color="000000" w:sz="6" w:val="single"/>
            </w:tcBorders>
            <w:vAlign w:val="top"/>
          </w:tcPr>
          <w:p w14:paraId="4D000000">
            <w:pPr>
              <w:widowControl w:val="1"/>
              <w:spacing w:after="0" w:before="0"/>
              <w:ind w:firstLine="0" w:left="0" w:right="0"/>
              <w:jc w:val="both"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right w:color="000000" w:sz="6" w:val="single"/>
            </w:tcBorders>
            <w:vAlign w:val="top"/>
          </w:tcPr>
          <w:p w14:paraId="4E000000">
            <w:pPr>
              <w:widowControl w:val="1"/>
              <w:spacing w:after="0" w:before="0"/>
              <w:ind w:firstLine="0" w:left="0" w:right="0"/>
              <w:jc w:val="both"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</w:tr>
      <w:tr>
        <w:tc>
          <w:tcPr>
            <w:tcW w:type="dxa" w:w="2415"/>
            <w:tcBorders>
              <w:left w:color="000000" w:sz="6" w:val="single"/>
              <w:right w:color="000000" w:sz="6" w:val="single"/>
            </w:tcBorders>
            <w:vAlign w:val="top"/>
          </w:tcPr>
          <w:p w14:paraId="4F000000">
            <w:pPr>
              <w:widowControl w:val="1"/>
              <w:spacing w:after="0" w:before="0"/>
              <w:ind w:firstLine="0" w:left="0" w:right="0"/>
              <w:jc w:val="both"/>
              <w:rPr>
                <w:b w:val="0"/>
              </w:rPr>
            </w:pPr>
            <w:r>
              <w:rPr>
                <w:b w:val="0"/>
              </w:rPr>
              <w:t>подъем с рабочей поверхности</w:t>
            </w:r>
          </w:p>
        </w:tc>
        <w:tc>
          <w:tcPr>
            <w:tcW w:type="dxa" w:w="825"/>
            <w:tcBorders>
              <w:left w:color="000000" w:sz="6" w:val="single"/>
              <w:right w:color="000000" w:sz="6" w:val="single"/>
            </w:tcBorders>
            <w:vAlign w:val="top"/>
          </w:tcPr>
          <w:p w14:paraId="50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400</w:t>
            </w:r>
          </w:p>
        </w:tc>
        <w:tc>
          <w:tcPr>
            <w:tcW w:type="dxa" w:w="825"/>
            <w:tcBorders>
              <w:left w:color="000000" w:sz="6" w:val="single"/>
              <w:right w:color="000000" w:sz="6" w:val="single"/>
            </w:tcBorders>
            <w:vAlign w:val="top"/>
          </w:tcPr>
          <w:p w14:paraId="51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500</w:t>
            </w:r>
          </w:p>
        </w:tc>
        <w:tc>
          <w:tcPr>
            <w:tcW w:type="dxa" w:w="825"/>
            <w:tcBorders>
              <w:left w:color="000000" w:sz="6" w:val="single"/>
              <w:right w:color="000000" w:sz="6" w:val="single"/>
            </w:tcBorders>
            <w:vAlign w:val="top"/>
          </w:tcPr>
          <w:p w14:paraId="52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1000</w:t>
            </w:r>
          </w:p>
        </w:tc>
        <w:tc>
          <w:tcPr>
            <w:tcW w:type="dxa" w:w="825"/>
            <w:tcBorders>
              <w:left w:color="000000" w:sz="6" w:val="single"/>
              <w:right w:color="000000" w:sz="6" w:val="single"/>
            </w:tcBorders>
            <w:vAlign w:val="top"/>
          </w:tcPr>
          <w:p w14:paraId="53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1500</w:t>
            </w:r>
          </w:p>
        </w:tc>
        <w:tc>
          <w:tcPr>
            <w:tcW w:type="dxa" w:w="825"/>
            <w:tcBorders>
              <w:left w:color="000000" w:sz="6" w:val="single"/>
              <w:right w:color="000000" w:sz="6" w:val="single"/>
            </w:tcBorders>
            <w:vAlign w:val="top"/>
          </w:tcPr>
          <w:p w14:paraId="54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180</w:t>
            </w:r>
          </w:p>
        </w:tc>
        <w:tc>
          <w:tcPr>
            <w:tcW w:type="dxa" w:w="825"/>
            <w:tcBorders>
              <w:left w:color="000000" w:sz="6" w:val="single"/>
              <w:right w:color="000000" w:sz="6" w:val="single"/>
            </w:tcBorders>
            <w:vAlign w:val="top"/>
          </w:tcPr>
          <w:p w14:paraId="55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200</w:t>
            </w:r>
          </w:p>
        </w:tc>
        <w:tc>
          <w:tcPr>
            <w:tcW w:type="dxa" w:w="825"/>
            <w:tcBorders>
              <w:left w:color="000000" w:sz="6" w:val="single"/>
              <w:right w:color="000000" w:sz="6" w:val="single"/>
            </w:tcBorders>
            <w:vAlign w:val="top"/>
          </w:tcPr>
          <w:p w14:paraId="56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400</w:t>
            </w:r>
          </w:p>
        </w:tc>
        <w:tc>
          <w:tcPr>
            <w:tcW w:type="dxa" w:w="840"/>
            <w:tcBorders>
              <w:left w:color="000000" w:sz="6" w:val="single"/>
              <w:right w:color="000000" w:sz="6" w:val="single"/>
            </w:tcBorders>
            <w:vAlign w:val="top"/>
          </w:tcPr>
          <w:p w14:paraId="57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500</w:t>
            </w:r>
          </w:p>
        </w:tc>
      </w:tr>
      <w:tr>
        <w:tc>
          <w:tcPr>
            <w:tcW w:type="dxa" w:w="2415"/>
            <w:tcBorders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8000000">
            <w:pPr>
              <w:widowControl w:val="1"/>
              <w:spacing w:after="0" w:before="0"/>
              <w:ind w:firstLine="0" w:left="0" w:right="0"/>
              <w:jc w:val="both"/>
              <w:rPr>
                <w:b w:val="0"/>
              </w:rPr>
            </w:pPr>
            <w:r>
              <w:rPr>
                <w:b w:val="0"/>
              </w:rPr>
              <w:t>подъем с пола</w:t>
            </w:r>
          </w:p>
        </w:tc>
        <w:tc>
          <w:tcPr>
            <w:tcW w:type="dxa" w:w="825"/>
            <w:tcBorders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9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200</w:t>
            </w:r>
          </w:p>
        </w:tc>
        <w:tc>
          <w:tcPr>
            <w:tcW w:type="dxa" w:w="825"/>
            <w:tcBorders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A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250</w:t>
            </w:r>
          </w:p>
        </w:tc>
        <w:tc>
          <w:tcPr>
            <w:tcW w:type="dxa" w:w="825"/>
            <w:tcBorders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B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500</w:t>
            </w:r>
          </w:p>
        </w:tc>
        <w:tc>
          <w:tcPr>
            <w:tcW w:type="dxa" w:w="825"/>
            <w:tcBorders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C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700</w:t>
            </w:r>
          </w:p>
        </w:tc>
        <w:tc>
          <w:tcPr>
            <w:tcW w:type="dxa" w:w="825"/>
            <w:tcBorders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D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90</w:t>
            </w:r>
          </w:p>
        </w:tc>
        <w:tc>
          <w:tcPr>
            <w:tcW w:type="dxa" w:w="825"/>
            <w:tcBorders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E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100</w:t>
            </w:r>
          </w:p>
        </w:tc>
        <w:tc>
          <w:tcPr>
            <w:tcW w:type="dxa" w:w="825"/>
            <w:tcBorders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F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200</w:t>
            </w:r>
          </w:p>
        </w:tc>
        <w:tc>
          <w:tcPr>
            <w:tcW w:type="dxa" w:w="840"/>
            <w:tcBorders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0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250</w:t>
            </w:r>
          </w:p>
        </w:tc>
      </w:tr>
      <w:tr>
        <w:tc>
          <w:tcPr>
            <w:tcW w:type="dxa" w:w="24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1000000">
            <w:pPr>
              <w:widowControl w:val="1"/>
              <w:spacing w:after="0" w:before="0"/>
              <w:ind w:firstLine="0" w:left="0" w:right="0"/>
              <w:jc w:val="both"/>
              <w:rPr>
                <w:b w:val="0"/>
              </w:rPr>
            </w:pPr>
            <w:r>
              <w:rPr>
                <w:b w:val="0"/>
              </w:rPr>
              <w:t>Перемещение грузов на тележках или в контейнерах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2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12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3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15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4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20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5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24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6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4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7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5</w:t>
            </w:r>
          </w:p>
        </w:tc>
        <w:tc>
          <w:tcPr>
            <w:tcW w:type="dxa" w:w="8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8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7</w:t>
            </w:r>
          </w:p>
        </w:tc>
        <w:tc>
          <w:tcPr>
            <w:tcW w:type="dxa" w:w="8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9000000">
            <w:pPr>
              <w:widowControl w:val="1"/>
              <w:spacing w:after="0" w:before="0"/>
              <w:ind w:firstLine="0" w:left="0" w:right="0"/>
              <w:jc w:val="center"/>
            </w:pPr>
            <w:r>
              <w:t>8</w:t>
            </w:r>
          </w:p>
        </w:tc>
      </w:tr>
    </w:tbl>
    <w:p w14:paraId="6A000000">
      <w:pPr>
        <w:widowControl w:val="1"/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 </w:t>
      </w:r>
    </w:p>
    <w:p w14:paraId="6B000000">
      <w:pPr>
        <w:widowControl w:val="1"/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 </w:t>
      </w:r>
    </w:p>
    <w:p w14:paraId="6C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города Шаркова Ольга Викторовна </w:t>
      </w:r>
    </w:p>
    <w:sectPr>
      <w:pgSz w:h="16838" w:orient="portrait" w:w="11906"/>
      <w:pgMar w:bottom="1134" w:footer="708" w:gutter="0" w:header="708" w:left="1701" w:right="56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eader"/>
    <w:basedOn w:val="Style_2"/>
    <w:link w:val="Style_1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header"/>
    <w:basedOn w:val="Style_2_ch"/>
    <w:link w:val="Style_12"/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9"/>
    <w:next w:val="Style_2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ConsPlusNormal"/>
    <w:link w:val="Style_19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9_ch" w:type="character">
    <w:name w:val="ConsPlusNormal"/>
    <w:link w:val="Style_19"/>
    <w:rPr>
      <w:rFonts w:ascii="Times New Roman" w:hAnsi="Times New Roman"/>
      <w:sz w:val="24"/>
    </w:rPr>
  </w:style>
  <w:style w:styleId="Style_20" w:type="paragraph">
    <w:name w:val="toc 8"/>
    <w:next w:val="Style_2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Normal (Web)"/>
    <w:basedOn w:val="Style_2"/>
    <w:link w:val="Style_26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6_ch" w:type="character">
    <w:name w:val="Normal (Web)"/>
    <w:basedOn w:val="Style_2_ch"/>
    <w:link w:val="Style_26"/>
    <w:rPr>
      <w:rFonts w:ascii="Times New Roman" w:hAnsi="Times New Roman"/>
      <w:sz w:val="24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2026-03-11T06:58:15Z</dcterms:created>
  <dcterms:modified xsi:type="dcterms:W3CDTF">2026-03-11T07:24:22Z</dcterms:modified>
</cp:coreProperties>
</file>