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5353" w:rsidRPr="00773819" w:rsidRDefault="00EC5353" w:rsidP="00EC535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773819">
        <w:rPr>
          <w:rFonts w:ascii="Times New Roman" w:hAnsi="Times New Roman" w:cs="Times New Roman"/>
          <w:b/>
        </w:rPr>
        <w:t>СВОДНЫЙ ОТЧЕТ</w:t>
      </w:r>
    </w:p>
    <w:p w:rsidR="00EC5353" w:rsidRPr="00B53C16" w:rsidRDefault="00EC5353" w:rsidP="00EC535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B53C16">
        <w:rPr>
          <w:rFonts w:ascii="Times New Roman" w:hAnsi="Times New Roman" w:cs="Times New Roman"/>
          <w:b/>
        </w:rPr>
        <w:t xml:space="preserve">о проведении оценки регулирующего </w:t>
      </w:r>
      <w:r w:rsidRPr="00B53C16">
        <w:rPr>
          <w:rFonts w:ascii="Times New Roman" w:hAnsi="Times New Roman" w:cs="Times New Roman"/>
          <w:b/>
        </w:rPr>
        <w:br/>
        <w:t xml:space="preserve">воздействия </w:t>
      </w:r>
      <w:r w:rsidR="00295B45">
        <w:rPr>
          <w:rFonts w:ascii="Times New Roman" w:hAnsi="Times New Roman" w:cs="Times New Roman"/>
          <w:b/>
        </w:rPr>
        <w:t>муниципального</w:t>
      </w:r>
      <w:r w:rsidRPr="00B53C16">
        <w:rPr>
          <w:rFonts w:ascii="Times New Roman" w:hAnsi="Times New Roman" w:cs="Times New Roman"/>
          <w:b/>
        </w:rPr>
        <w:t xml:space="preserve"> правового акта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3828"/>
        <w:gridCol w:w="5067"/>
      </w:tblGrid>
      <w:tr w:rsidR="00EC5353" w:rsidRPr="00EC5353" w:rsidTr="00BD37B6">
        <w:tc>
          <w:tcPr>
            <w:tcW w:w="675" w:type="dxa"/>
          </w:tcPr>
          <w:p w:rsidR="00EC5353" w:rsidRPr="00EC5353" w:rsidRDefault="00EC5353" w:rsidP="00EC535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C5353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8895" w:type="dxa"/>
            <w:gridSpan w:val="2"/>
          </w:tcPr>
          <w:p w:rsidR="000352C5" w:rsidRPr="00EC5353" w:rsidRDefault="00EC5353" w:rsidP="00EC535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C5353">
              <w:rPr>
                <w:rFonts w:ascii="Times New Roman" w:hAnsi="Times New Roman" w:cs="Times New Roman"/>
              </w:rPr>
              <w:t>Общая информация</w:t>
            </w:r>
          </w:p>
        </w:tc>
      </w:tr>
      <w:tr w:rsidR="00227988" w:rsidRPr="00EC5353" w:rsidTr="00EC5353">
        <w:tc>
          <w:tcPr>
            <w:tcW w:w="675" w:type="dxa"/>
          </w:tcPr>
          <w:p w:rsidR="00EC5353" w:rsidRPr="00EC5353" w:rsidRDefault="00EC5353" w:rsidP="00EC5353">
            <w:pPr>
              <w:contextualSpacing/>
              <w:rPr>
                <w:rFonts w:ascii="Times New Roman" w:hAnsi="Times New Roman" w:cs="Times New Roman"/>
              </w:rPr>
            </w:pPr>
            <w:r w:rsidRPr="00EC5353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3828" w:type="dxa"/>
          </w:tcPr>
          <w:p w:rsidR="00EC5353" w:rsidRPr="00EC5353" w:rsidRDefault="00EC5353" w:rsidP="00EC5353">
            <w:pPr>
              <w:contextualSpacing/>
              <w:rPr>
                <w:rFonts w:ascii="Times New Roman" w:hAnsi="Times New Roman" w:cs="Times New Roman"/>
              </w:rPr>
            </w:pPr>
            <w:r w:rsidRPr="00EC5353">
              <w:rPr>
                <w:rFonts w:ascii="Times New Roman" w:hAnsi="Times New Roman" w:cs="Times New Roman"/>
              </w:rPr>
              <w:t>Вид и наименование проекта акта</w:t>
            </w:r>
          </w:p>
        </w:tc>
        <w:tc>
          <w:tcPr>
            <w:tcW w:w="5067" w:type="dxa"/>
          </w:tcPr>
          <w:p w:rsidR="009E2C11" w:rsidRPr="00FB293B" w:rsidRDefault="00A52E2B" w:rsidP="00A52E2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B293B">
              <w:rPr>
                <w:rFonts w:ascii="Times New Roman" w:hAnsi="Times New Roman" w:cs="Times New Roman"/>
              </w:rPr>
              <w:t xml:space="preserve">Проект Постановления Администрации городского округа Электросталь Московской области </w:t>
            </w:r>
            <w:r w:rsidRPr="00FB293B">
              <w:rPr>
                <w:rFonts w:ascii="Times New Roman" w:hAnsi="Times New Roman" w:cs="Times New Roman"/>
              </w:rPr>
              <w:br/>
              <w:t>«</w:t>
            </w:r>
            <w:r w:rsidR="00FB293B">
              <w:rPr>
                <w:rFonts w:ascii="Times New Roman" w:hAnsi="Times New Roman" w:cs="Times New Roman"/>
              </w:rPr>
              <w:t xml:space="preserve">Об утверждении Положения </w:t>
            </w:r>
            <w:r w:rsidR="00FB293B" w:rsidRPr="00FB293B">
              <w:rPr>
                <w:rFonts w:ascii="Times New Roman" w:hAnsi="Times New Roman" w:cs="Times New Roman"/>
              </w:rPr>
              <w:t>о порядке проведения торгов на установку и эксп</w:t>
            </w:r>
            <w:r w:rsidR="00FB293B">
              <w:rPr>
                <w:rFonts w:ascii="Times New Roman" w:hAnsi="Times New Roman" w:cs="Times New Roman"/>
              </w:rPr>
              <w:t xml:space="preserve">луатацию рекламной конструкции </w:t>
            </w:r>
            <w:r w:rsidR="00FB293B" w:rsidRPr="00FB293B">
              <w:rPr>
                <w:rFonts w:ascii="Times New Roman" w:hAnsi="Times New Roman" w:cs="Times New Roman"/>
              </w:rPr>
              <w:t>на зданиях, строениях, сооружениях, находящихся в собственности городского округа</w:t>
            </w:r>
            <w:bookmarkStart w:id="0" w:name="_GoBack"/>
            <w:bookmarkEnd w:id="0"/>
            <w:r w:rsidR="00FB293B" w:rsidRPr="00FB293B">
              <w:rPr>
                <w:rFonts w:ascii="Times New Roman" w:hAnsi="Times New Roman" w:cs="Times New Roman"/>
              </w:rPr>
              <w:t xml:space="preserve"> Электросталь Московской области и типового договора на установку </w:t>
            </w:r>
            <w:r w:rsidR="00FB293B">
              <w:rPr>
                <w:rFonts w:ascii="Times New Roman" w:hAnsi="Times New Roman" w:cs="Times New Roman"/>
              </w:rPr>
              <w:br/>
            </w:r>
            <w:r w:rsidR="00FB293B" w:rsidRPr="00FB293B">
              <w:rPr>
                <w:rFonts w:ascii="Times New Roman" w:hAnsi="Times New Roman" w:cs="Times New Roman"/>
              </w:rPr>
              <w:t>и эксплуатацию рекламной конструкции на зданиях, строе</w:t>
            </w:r>
            <w:r w:rsidR="00FB293B">
              <w:rPr>
                <w:rFonts w:ascii="Times New Roman" w:hAnsi="Times New Roman" w:cs="Times New Roman"/>
              </w:rPr>
              <w:t xml:space="preserve">ниях, сооружениях, находящихся </w:t>
            </w:r>
            <w:r w:rsidR="00FB293B">
              <w:rPr>
                <w:rFonts w:ascii="Times New Roman" w:hAnsi="Times New Roman" w:cs="Times New Roman"/>
              </w:rPr>
              <w:br/>
            </w:r>
            <w:r w:rsidR="00FB293B" w:rsidRPr="00FB293B">
              <w:rPr>
                <w:rFonts w:ascii="Times New Roman" w:hAnsi="Times New Roman" w:cs="Times New Roman"/>
              </w:rPr>
              <w:t>в собственности городского округа Электросталь Моско</w:t>
            </w:r>
            <w:r w:rsidR="00FB293B">
              <w:rPr>
                <w:rFonts w:ascii="Times New Roman" w:hAnsi="Times New Roman" w:cs="Times New Roman"/>
              </w:rPr>
              <w:t xml:space="preserve">вской области Регламента </w:t>
            </w:r>
            <w:r w:rsidR="00FB293B" w:rsidRPr="00FB293B">
              <w:rPr>
                <w:rFonts w:ascii="Times New Roman" w:hAnsi="Times New Roman" w:cs="Times New Roman"/>
              </w:rPr>
              <w:t xml:space="preserve">межведомственного взаимодействия по вопросу установки и эксплуатации рекламных конструкций на зданиях, строениях, сооружениях, находящихся в собственности городского округа Электросталь Московской области и Методики расчета годового размера платы по договору на установку </w:t>
            </w:r>
            <w:r w:rsidR="00FB293B">
              <w:rPr>
                <w:rFonts w:ascii="Times New Roman" w:hAnsi="Times New Roman" w:cs="Times New Roman"/>
              </w:rPr>
              <w:br/>
            </w:r>
            <w:r w:rsidR="00FB293B" w:rsidRPr="00FB293B">
              <w:rPr>
                <w:rFonts w:ascii="Times New Roman" w:hAnsi="Times New Roman" w:cs="Times New Roman"/>
              </w:rPr>
              <w:t xml:space="preserve">и эксплуатацию рекламной конструкции </w:t>
            </w:r>
            <w:r w:rsidR="00FB293B" w:rsidRPr="00FB293B">
              <w:rPr>
                <w:rFonts w:ascii="Times New Roman" w:hAnsi="Times New Roman" w:cs="Times New Roman"/>
              </w:rPr>
              <w:br/>
              <w:t>на зданиях, строениях, сооружениях, находящихся в собственности городского округа Электросталь Московской области</w:t>
            </w:r>
            <w:r w:rsidRPr="00FB293B">
              <w:rPr>
                <w:rFonts w:ascii="Times New Roman" w:hAnsi="Times New Roman" w:cs="Times New Roman"/>
              </w:rPr>
              <w:t xml:space="preserve">». </w:t>
            </w:r>
          </w:p>
          <w:p w:rsidR="006E0B1F" w:rsidRPr="00A52E2B" w:rsidRDefault="00A52E2B" w:rsidP="00A52E2B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52E2B">
              <w:rPr>
                <w:rStyle w:val="a7"/>
                <w:rFonts w:ascii="Times New Roman" w:hAnsi="Times New Roman" w:cs="Times New Roman"/>
              </w:rPr>
              <w:t>Примечание: регулирование порядка проведения торгов, регламента взаимодействия и методики расчета для земельных участков, государственная собственность на которые не разграничена, будет осуществляться отдельным муниципальным правовым актом.</w:t>
            </w:r>
          </w:p>
        </w:tc>
      </w:tr>
      <w:tr w:rsidR="00227988" w:rsidRPr="00EC5353" w:rsidTr="00EC5353">
        <w:tc>
          <w:tcPr>
            <w:tcW w:w="675" w:type="dxa"/>
          </w:tcPr>
          <w:p w:rsidR="00EC5353" w:rsidRPr="00EC5353" w:rsidRDefault="00EC5353" w:rsidP="00EC5353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3828" w:type="dxa"/>
          </w:tcPr>
          <w:p w:rsidR="00EC5353" w:rsidRPr="00EC5353" w:rsidRDefault="00EC5353" w:rsidP="00EC5353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Разработчик</w:t>
            </w:r>
          </w:p>
        </w:tc>
        <w:tc>
          <w:tcPr>
            <w:tcW w:w="5067" w:type="dxa"/>
          </w:tcPr>
          <w:p w:rsidR="0085581D" w:rsidRDefault="00EC5353" w:rsidP="006E0B1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Муниципальное казенное учреждение «Департамент по развитию промышленности, инвестиционной политике и рекламе городского округа Электросталь Московской области»</w:t>
            </w:r>
            <w:r w:rsidR="006C411E">
              <w:rPr>
                <w:rFonts w:ascii="Times New Roman" w:hAnsi="Times New Roman" w:cs="Times New Roman"/>
              </w:rPr>
              <w:t>.</w:t>
            </w:r>
          </w:p>
          <w:p w:rsidR="006E0B1F" w:rsidRPr="006E0B1F" w:rsidRDefault="006E0B1F" w:rsidP="00EC5353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27988" w:rsidRPr="00EC5353" w:rsidTr="00EC5353">
        <w:tc>
          <w:tcPr>
            <w:tcW w:w="675" w:type="dxa"/>
          </w:tcPr>
          <w:p w:rsidR="00EC5353" w:rsidRPr="00EC5353" w:rsidRDefault="00EC5353" w:rsidP="00EC5353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828" w:type="dxa"/>
          </w:tcPr>
          <w:p w:rsidR="00EC5353" w:rsidRPr="00295B45" w:rsidRDefault="00295B45" w:rsidP="006C411E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295B45">
              <w:rPr>
                <w:rFonts w:ascii="Times New Roman" w:hAnsi="Times New Roman" w:cs="Times New Roman"/>
                <w:bCs/>
              </w:rPr>
              <w:t>Степень регулирующего воздействия проекта акта, обоснование отнесения проекта акта к соответствующей степени регулирующего воздействия</w:t>
            </w:r>
          </w:p>
        </w:tc>
        <w:tc>
          <w:tcPr>
            <w:tcW w:w="5067" w:type="dxa"/>
          </w:tcPr>
          <w:p w:rsidR="0067171E" w:rsidRPr="00A52E2B" w:rsidRDefault="00A52E2B" w:rsidP="00387C2D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A52E2B">
              <w:rPr>
                <w:rFonts w:ascii="Times New Roman" w:hAnsi="Times New Roman" w:cs="Times New Roman"/>
              </w:rPr>
              <w:t>Средняя степень. Проект устанавливает обязательные требования к участникам рынка рекламных конструкций на объектах недвижимости (зданиях, строениях, сооружениях), вводит единые административные процедуры, актуализирует методику расчета платы (базовая ставка — 12 225 руб.) и детализирует механизмы контроля.</w:t>
            </w:r>
          </w:p>
        </w:tc>
      </w:tr>
      <w:tr w:rsidR="00227988" w:rsidRPr="00EC5353" w:rsidTr="00EC5353">
        <w:tc>
          <w:tcPr>
            <w:tcW w:w="675" w:type="dxa"/>
          </w:tcPr>
          <w:p w:rsidR="00EC5353" w:rsidRPr="00EC5353" w:rsidRDefault="006C411E" w:rsidP="00EC5353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828" w:type="dxa"/>
          </w:tcPr>
          <w:p w:rsidR="00EC5353" w:rsidRPr="00EC5353" w:rsidRDefault="006C411E" w:rsidP="006C411E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Описание проблемы, на решение которой направлен предлагаемый способ регулирования, оценка негативных эффектов, возникающих в связи с наличием рассматриваемой проблемы.</w:t>
            </w:r>
          </w:p>
        </w:tc>
        <w:tc>
          <w:tcPr>
            <w:tcW w:w="5067" w:type="dxa"/>
          </w:tcPr>
          <w:p w:rsidR="00A52E2B" w:rsidRPr="00A52E2B" w:rsidRDefault="00A52E2B" w:rsidP="00A52E2B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A52E2B">
              <w:rPr>
                <w:rFonts w:ascii="Times New Roman" w:hAnsi="Times New Roman" w:cs="Times New Roman"/>
              </w:rPr>
              <w:t xml:space="preserve">На территории городского округа Электросталь действует постановление от 25.10.2023 № 1436/10, которое объединяет в одном документе правила для двух разных видов имущества: земельных участков (государственная собственность </w:t>
            </w:r>
            <w:r w:rsidR="009E2C11">
              <w:rPr>
                <w:rFonts w:ascii="Times New Roman" w:hAnsi="Times New Roman" w:cs="Times New Roman"/>
              </w:rPr>
              <w:br/>
            </w:r>
            <w:r w:rsidRPr="00A52E2B">
              <w:rPr>
                <w:rFonts w:ascii="Times New Roman" w:hAnsi="Times New Roman" w:cs="Times New Roman"/>
              </w:rPr>
              <w:t xml:space="preserve">на которые не разграничена) и зданий (муниципальная собственность). В связи </w:t>
            </w:r>
            <w:r w:rsidRPr="00A52E2B">
              <w:rPr>
                <w:rFonts w:ascii="Times New Roman" w:hAnsi="Times New Roman" w:cs="Times New Roman"/>
              </w:rPr>
              <w:br/>
              <w:t xml:space="preserve">с обновлением региональных требований (постановление Правительства МО от 19.02.2021 № 112/6 в ред. от 23.04.2025), текущая методика расчета цены утратила актуальность (базовая ставка 2 500 руб. вместо 12 225 руб.). </w:t>
            </w:r>
          </w:p>
          <w:p w:rsidR="000352C5" w:rsidRPr="00EF081F" w:rsidRDefault="00A52E2B" w:rsidP="00A52E2B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A52E2B">
              <w:rPr>
                <w:rFonts w:ascii="Times New Roman" w:hAnsi="Times New Roman" w:cs="Times New Roman"/>
                <w:b/>
                <w:bCs/>
              </w:rPr>
              <w:lastRenderedPageBreak/>
              <w:t>Проблема разделения регулирования:</w:t>
            </w:r>
            <w:r w:rsidRPr="00A52E2B">
              <w:rPr>
                <w:rFonts w:ascii="Times New Roman" w:hAnsi="Times New Roman" w:cs="Times New Roman"/>
              </w:rPr>
              <w:t xml:space="preserve"> Земельные участки и здания имеют принципиально разный правовой режим распоряжения согласно ГК РФ и ЗК РФ. Попытка урегулировать их одним актом создает избыточную сложность документа и затрудняет его администрирование. Предлагаемый проект направлен на выделение регулирования объектов недвижимости (зданий) в отдельный МПА. Порядок работы с земельными участками признан требующим самостоятельной специфической проработки и будет вынесен в будущий отдельный нормативный акт. Это позволит устранить противоречия по зданиям уже сейчас, </w:t>
            </w:r>
            <w:r w:rsidR="009E2C11">
              <w:rPr>
                <w:rFonts w:ascii="Times New Roman" w:hAnsi="Times New Roman" w:cs="Times New Roman"/>
              </w:rPr>
              <w:br/>
            </w:r>
            <w:r w:rsidRPr="00A52E2B">
              <w:rPr>
                <w:rFonts w:ascii="Times New Roman" w:hAnsi="Times New Roman" w:cs="Times New Roman"/>
              </w:rPr>
              <w:t>не дожидаясь завершения инвентаризации земель.</w:t>
            </w:r>
          </w:p>
        </w:tc>
      </w:tr>
      <w:tr w:rsidR="00227988" w:rsidRPr="00EC5353" w:rsidTr="009E2C11">
        <w:trPr>
          <w:trHeight w:val="1821"/>
        </w:trPr>
        <w:tc>
          <w:tcPr>
            <w:tcW w:w="675" w:type="dxa"/>
          </w:tcPr>
          <w:p w:rsidR="00EC5353" w:rsidRPr="00EC5353" w:rsidRDefault="00E178D9" w:rsidP="00EC5353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4.</w:t>
            </w:r>
          </w:p>
        </w:tc>
        <w:tc>
          <w:tcPr>
            <w:tcW w:w="3828" w:type="dxa"/>
          </w:tcPr>
          <w:p w:rsidR="00E178D9" w:rsidRDefault="00E178D9" w:rsidP="00E178D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Цели предлагаемого регулирования </w:t>
            </w:r>
            <w:r>
              <w:rPr>
                <w:rFonts w:ascii="Times New Roman" w:hAnsi="Times New Roman" w:cs="Times New Roman"/>
              </w:rPr>
              <w:br/>
              <w:t>и их соответствие принципам правового регулирования</w:t>
            </w:r>
          </w:p>
          <w:p w:rsidR="001F5372" w:rsidRPr="00EC5353" w:rsidRDefault="001F5372" w:rsidP="00E178D9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67" w:type="dxa"/>
          </w:tcPr>
          <w:p w:rsidR="00A315F8" w:rsidRPr="009E2C11" w:rsidRDefault="009E2C11" w:rsidP="008A600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9E2C11">
              <w:rPr>
                <w:rFonts w:ascii="Times New Roman" w:hAnsi="Times New Roman" w:cs="Times New Roman"/>
              </w:rPr>
              <w:t>Совершенствование механизма проведения торгов исключительно на объектах недвижимости (зданиях, строениях, сооружениях); устранение нормативных расхождений; унификация правил ценообразования для муниципальной недвижимости; повышение прозрачности распределения мест под рекламу.</w:t>
            </w:r>
          </w:p>
        </w:tc>
      </w:tr>
      <w:tr w:rsidR="00227988" w:rsidRPr="00EC5353" w:rsidTr="009E2C11">
        <w:trPr>
          <w:trHeight w:val="2666"/>
        </w:trPr>
        <w:tc>
          <w:tcPr>
            <w:tcW w:w="675" w:type="dxa"/>
          </w:tcPr>
          <w:p w:rsidR="00EC5353" w:rsidRPr="00EC5353" w:rsidRDefault="003756BB" w:rsidP="00EC5353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828" w:type="dxa"/>
          </w:tcPr>
          <w:p w:rsidR="00EC5353" w:rsidRPr="00EC5353" w:rsidRDefault="003756BB" w:rsidP="003756B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Основные группы субъектов предпринимательской и иной экономической деятельности, иных заинтересованных лиц, включая органы местного самоуправления городского округа Электросталь Московской области, интересы которых будут затронуты предлагаемым правовым регулированием, оценка количества таких субъектов</w:t>
            </w:r>
          </w:p>
        </w:tc>
        <w:tc>
          <w:tcPr>
            <w:tcW w:w="5067" w:type="dxa"/>
          </w:tcPr>
          <w:p w:rsidR="009E2C11" w:rsidRPr="009E2C11" w:rsidRDefault="009E2C11" w:rsidP="009E2C11">
            <w:pPr>
              <w:pStyle w:val="a4"/>
              <w:ind w:left="33" w:firstLine="327"/>
              <w:jc w:val="both"/>
              <w:rPr>
                <w:rFonts w:ascii="Times New Roman" w:hAnsi="Times New Roman" w:cs="Times New Roman"/>
              </w:rPr>
            </w:pPr>
            <w:r w:rsidRPr="009E2C11">
              <w:rPr>
                <w:rFonts w:ascii="Times New Roman" w:hAnsi="Times New Roman" w:cs="Times New Roman"/>
              </w:rPr>
              <w:t>1. Рекламораспространители (операторы наружной рекламы на зданиях).</w:t>
            </w:r>
          </w:p>
          <w:p w:rsidR="009E2C11" w:rsidRPr="009E2C11" w:rsidRDefault="009E2C11" w:rsidP="009E2C11">
            <w:pPr>
              <w:pStyle w:val="a4"/>
              <w:ind w:left="33" w:firstLine="327"/>
              <w:jc w:val="both"/>
              <w:rPr>
                <w:rFonts w:ascii="Times New Roman" w:hAnsi="Times New Roman" w:cs="Times New Roman"/>
              </w:rPr>
            </w:pPr>
            <w:r w:rsidRPr="009E2C11">
              <w:rPr>
                <w:rFonts w:ascii="Times New Roman" w:hAnsi="Times New Roman" w:cs="Times New Roman"/>
              </w:rPr>
              <w:t>2. Собственники зданий/сооружений (не МКД) и арендаторы.</w:t>
            </w:r>
          </w:p>
          <w:p w:rsidR="009E2C11" w:rsidRPr="009E2C11" w:rsidRDefault="009E2C11" w:rsidP="009E2C11">
            <w:pPr>
              <w:pStyle w:val="a4"/>
              <w:ind w:left="33" w:firstLine="327"/>
              <w:jc w:val="both"/>
              <w:rPr>
                <w:rFonts w:ascii="Times New Roman" w:hAnsi="Times New Roman" w:cs="Times New Roman"/>
              </w:rPr>
            </w:pPr>
            <w:r w:rsidRPr="009E2C11">
              <w:rPr>
                <w:rFonts w:ascii="Times New Roman" w:hAnsi="Times New Roman" w:cs="Times New Roman"/>
              </w:rPr>
              <w:t xml:space="preserve">3. Органы местного самоуправления (Администрация, </w:t>
            </w:r>
            <w:r>
              <w:rPr>
                <w:rFonts w:ascii="Times New Roman" w:hAnsi="Times New Roman" w:cs="Times New Roman"/>
              </w:rPr>
              <w:t>Комитет имущественных отношений</w:t>
            </w:r>
            <w:r w:rsidRPr="009E2C11">
              <w:rPr>
                <w:rFonts w:ascii="Times New Roman" w:hAnsi="Times New Roman" w:cs="Times New Roman"/>
              </w:rPr>
              <w:t>).</w:t>
            </w:r>
          </w:p>
          <w:p w:rsidR="009E2C11" w:rsidRPr="009E2C11" w:rsidRDefault="009E2C11" w:rsidP="009E2C11">
            <w:pPr>
              <w:pStyle w:val="a4"/>
              <w:ind w:left="33" w:firstLine="327"/>
              <w:jc w:val="both"/>
              <w:rPr>
                <w:rFonts w:ascii="Times New Roman" w:hAnsi="Times New Roman" w:cs="Times New Roman"/>
              </w:rPr>
            </w:pPr>
            <w:r w:rsidRPr="009E2C11">
              <w:rPr>
                <w:rFonts w:ascii="Times New Roman" w:hAnsi="Times New Roman" w:cs="Times New Roman"/>
              </w:rPr>
              <w:t>4. Контролирующие органы (ФАС России).</w:t>
            </w:r>
          </w:p>
          <w:p w:rsidR="00BF76C7" w:rsidRPr="00EF081F" w:rsidRDefault="009E2C11" w:rsidP="009E2C11">
            <w:pPr>
              <w:pStyle w:val="a4"/>
              <w:ind w:left="33" w:firstLine="327"/>
              <w:jc w:val="both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9E2C11">
              <w:rPr>
                <w:rStyle w:val="a7"/>
                <w:rFonts w:ascii="Times New Roman" w:hAnsi="Times New Roman" w:cs="Times New Roman"/>
              </w:rPr>
              <w:t>Субъекты, заинтересованные в размещении рекламы на земельных участках, будут затронуты последующим отдельным МПА.</w:t>
            </w:r>
          </w:p>
        </w:tc>
      </w:tr>
      <w:tr w:rsidR="00227988" w:rsidRPr="00EC5353" w:rsidTr="00EC5353">
        <w:tc>
          <w:tcPr>
            <w:tcW w:w="675" w:type="dxa"/>
          </w:tcPr>
          <w:p w:rsidR="00EC5353" w:rsidRPr="00EC5353" w:rsidRDefault="003756BB" w:rsidP="00EC5353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828" w:type="dxa"/>
          </w:tcPr>
          <w:p w:rsidR="00EC5353" w:rsidRPr="00EC5353" w:rsidRDefault="003756BB" w:rsidP="003756B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Новые или изменяющие ранее предусмотренные правовыми актами городского округа Электросталь Московской области обязанности, запреты и ограничения для субъектов предпринимательской и иной экономической деятельности</w:t>
            </w:r>
          </w:p>
        </w:tc>
        <w:tc>
          <w:tcPr>
            <w:tcW w:w="5067" w:type="dxa"/>
          </w:tcPr>
          <w:p w:rsidR="009E2C11" w:rsidRDefault="009E2C11" w:rsidP="00EA42E3">
            <w:pPr>
              <w:pStyle w:val="a6"/>
              <w:shd w:val="clear" w:color="auto" w:fill="FFFFFF"/>
              <w:spacing w:before="0" w:beforeAutospacing="0" w:after="0" w:afterAutospacing="0"/>
              <w:contextualSpacing/>
              <w:jc w:val="both"/>
            </w:pPr>
            <w:r>
              <w:rPr>
                <w:b/>
                <w:bCs/>
              </w:rPr>
              <w:t>Обязанности:</w:t>
            </w:r>
            <w:r>
              <w:t xml:space="preserve"> </w:t>
            </w:r>
          </w:p>
          <w:p w:rsidR="009E2C11" w:rsidRDefault="009E2C11" w:rsidP="00EA42E3">
            <w:pPr>
              <w:pStyle w:val="a6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rStyle w:val="mord"/>
              </w:rPr>
            </w:pPr>
            <w:r>
              <w:t>обязательное применение новой методики расчета (</w:t>
            </w:r>
            <w:proofErr w:type="gramStart"/>
            <w:r>
              <w:rPr>
                <w:rStyle w:val="katex-mathml"/>
              </w:rPr>
              <w:t>П</w:t>
            </w:r>
            <w:proofErr w:type="gramEnd"/>
            <w:r>
              <w:rPr>
                <w:rStyle w:val="katex-mathml"/>
              </w:rPr>
              <w:t>=</w:t>
            </w:r>
            <w:proofErr w:type="spellStart"/>
            <w:r>
              <w:rPr>
                <w:rStyle w:val="katex-mathml"/>
              </w:rPr>
              <w:t>Бс×S×Кр×Кс×КтерП</w:t>
            </w:r>
            <w:proofErr w:type="spellEnd"/>
            <w:r>
              <w:rPr>
                <w:rStyle w:val="katex-mathml"/>
              </w:rPr>
              <w:t xml:space="preserve"> = </w:t>
            </w:r>
            <w:proofErr w:type="spellStart"/>
            <w:r>
              <w:rPr>
                <w:rStyle w:val="katex-mathml"/>
              </w:rPr>
              <w:t>Бс</w:t>
            </w:r>
            <w:proofErr w:type="spellEnd"/>
            <w:r>
              <w:rPr>
                <w:rStyle w:val="katex-mathml"/>
              </w:rPr>
              <w:t xml:space="preserve"> \</w:t>
            </w:r>
            <w:proofErr w:type="spellStart"/>
            <w:r>
              <w:rPr>
                <w:rStyle w:val="katex-mathml"/>
              </w:rPr>
              <w:t>times</w:t>
            </w:r>
            <w:proofErr w:type="spellEnd"/>
            <w:r>
              <w:rPr>
                <w:rStyle w:val="katex-mathml"/>
              </w:rPr>
              <w:t xml:space="preserve"> S \</w:t>
            </w:r>
            <w:proofErr w:type="spellStart"/>
            <w:r>
              <w:rPr>
                <w:rStyle w:val="katex-mathml"/>
              </w:rPr>
              <w:t>times</w:t>
            </w:r>
            <w:proofErr w:type="spellEnd"/>
            <w:r>
              <w:rPr>
                <w:rStyle w:val="katex-mathml"/>
              </w:rPr>
              <w:t xml:space="preserve"> </w:t>
            </w:r>
            <w:proofErr w:type="spellStart"/>
            <w:r>
              <w:rPr>
                <w:rStyle w:val="katex-mathml"/>
              </w:rPr>
              <w:t>Кр</w:t>
            </w:r>
            <w:proofErr w:type="spellEnd"/>
            <w:r>
              <w:rPr>
                <w:rStyle w:val="katex-mathml"/>
              </w:rPr>
              <w:t xml:space="preserve"> \</w:t>
            </w:r>
            <w:proofErr w:type="spellStart"/>
            <w:r>
              <w:rPr>
                <w:rStyle w:val="katex-mathml"/>
              </w:rPr>
              <w:t>times</w:t>
            </w:r>
            <w:proofErr w:type="spellEnd"/>
            <w:r>
              <w:rPr>
                <w:rStyle w:val="katex-mathml"/>
              </w:rPr>
              <w:t xml:space="preserve"> Кс \</w:t>
            </w:r>
            <w:proofErr w:type="spellStart"/>
            <w:r>
              <w:rPr>
                <w:rStyle w:val="katex-mathml"/>
              </w:rPr>
              <w:t>times</w:t>
            </w:r>
            <w:proofErr w:type="spellEnd"/>
            <w:r>
              <w:rPr>
                <w:rStyle w:val="katex-mathml"/>
              </w:rPr>
              <w:t xml:space="preserve"> </w:t>
            </w:r>
            <w:proofErr w:type="spellStart"/>
            <w:r>
              <w:rPr>
                <w:rStyle w:val="katex-mathml"/>
              </w:rPr>
              <w:t>Ктер</w:t>
            </w:r>
            <w:r>
              <w:rPr>
                <w:rStyle w:val="mord"/>
              </w:rPr>
              <w:t>П</w:t>
            </w:r>
            <w:proofErr w:type="spellEnd"/>
            <w:r>
              <w:rPr>
                <w:rStyle w:val="mord"/>
              </w:rPr>
              <w:t xml:space="preserve"> </w:t>
            </w:r>
            <w:r>
              <w:rPr>
                <w:rStyle w:val="mrel"/>
              </w:rPr>
              <w:t xml:space="preserve">= </w:t>
            </w:r>
            <w:proofErr w:type="spellStart"/>
            <w:r>
              <w:rPr>
                <w:rStyle w:val="mord"/>
              </w:rPr>
              <w:t>Бс</w:t>
            </w:r>
            <w:r>
              <w:rPr>
                <w:rStyle w:val="mbin"/>
              </w:rPr>
              <w:t>×</w:t>
            </w:r>
            <w:r>
              <w:rPr>
                <w:rStyle w:val="mord"/>
              </w:rPr>
              <w:t>S</w:t>
            </w:r>
            <w:proofErr w:type="spellEnd"/>
            <w:r>
              <w:rPr>
                <w:rStyle w:val="mord"/>
              </w:rPr>
              <w:t xml:space="preserve"> </w:t>
            </w:r>
            <w:r>
              <w:rPr>
                <w:rStyle w:val="mbin"/>
              </w:rPr>
              <w:t xml:space="preserve">× </w:t>
            </w:r>
            <w:proofErr w:type="spellStart"/>
            <w:r>
              <w:rPr>
                <w:rStyle w:val="mord"/>
              </w:rPr>
              <w:t>Кр</w:t>
            </w:r>
            <w:proofErr w:type="spellEnd"/>
            <w:r>
              <w:rPr>
                <w:rStyle w:val="mord"/>
              </w:rPr>
              <w:t xml:space="preserve"> </w:t>
            </w:r>
            <w:r>
              <w:rPr>
                <w:rStyle w:val="mbin"/>
              </w:rPr>
              <w:t>×</w:t>
            </w:r>
          </w:p>
          <w:p w:rsidR="009E2C11" w:rsidRDefault="009E2C11" w:rsidP="00EA42E3">
            <w:pPr>
              <w:pStyle w:val="a6"/>
              <w:shd w:val="clear" w:color="auto" w:fill="FFFFFF"/>
              <w:spacing w:before="0" w:beforeAutospacing="0" w:after="0" w:afterAutospacing="0"/>
              <w:contextualSpacing/>
              <w:jc w:val="both"/>
            </w:pPr>
            <w:r>
              <w:rPr>
                <w:rStyle w:val="mord"/>
              </w:rPr>
              <w:t xml:space="preserve">Кс </w:t>
            </w:r>
            <w:r>
              <w:rPr>
                <w:rStyle w:val="mbin"/>
              </w:rPr>
              <w:t>×</w:t>
            </w:r>
            <w:proofErr w:type="spellStart"/>
            <w:r>
              <w:rPr>
                <w:rStyle w:val="mord"/>
              </w:rPr>
              <w:t>Ктер</w:t>
            </w:r>
            <w:proofErr w:type="spellEnd"/>
            <w:r>
              <w:t>) только для зданий; использование единой базовой ставки 12 225 руб.; соблюдение новых регламентов внесения задатков через электронные площадки при торгах за объекты недвижимости.</w:t>
            </w:r>
          </w:p>
          <w:p w:rsidR="009E2C11" w:rsidRDefault="009E2C11" w:rsidP="00EA42E3">
            <w:pPr>
              <w:pStyle w:val="a6"/>
              <w:shd w:val="clear" w:color="auto" w:fill="FFFFFF"/>
              <w:spacing w:before="0" w:beforeAutospacing="0" w:after="0" w:afterAutospacing="0"/>
              <w:contextualSpacing/>
              <w:jc w:val="both"/>
            </w:pPr>
            <w:r>
              <w:rPr>
                <w:b/>
                <w:bCs/>
              </w:rPr>
              <w:t>Ограничения:</w:t>
            </w:r>
            <w:r>
              <w:t xml:space="preserve"> установленные градации площадей информационного поля и территориальные коэффициенты применительно к городской застройке.</w:t>
            </w:r>
          </w:p>
          <w:p w:rsidR="0061788E" w:rsidRPr="0061788E" w:rsidRDefault="009E2C11" w:rsidP="00EA42E3">
            <w:pPr>
              <w:pStyle w:val="a6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color w:val="FF0000"/>
                <w:sz w:val="22"/>
                <w:szCs w:val="22"/>
              </w:rPr>
            </w:pPr>
            <w:r>
              <w:rPr>
                <w:b/>
                <w:bCs/>
              </w:rPr>
              <w:t>Запреты:</w:t>
            </w:r>
            <w:r>
              <w:t xml:space="preserve"> самостоятельное изменение ставок бизнесом без решения Администрации.</w:t>
            </w:r>
          </w:p>
        </w:tc>
      </w:tr>
      <w:tr w:rsidR="00227988" w:rsidRPr="00EC5353" w:rsidTr="00EC5353">
        <w:tc>
          <w:tcPr>
            <w:tcW w:w="675" w:type="dxa"/>
          </w:tcPr>
          <w:p w:rsidR="003756BB" w:rsidRPr="00EC5353" w:rsidRDefault="002F1A56" w:rsidP="00EC5353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828" w:type="dxa"/>
          </w:tcPr>
          <w:p w:rsidR="003756BB" w:rsidRPr="00EC5353" w:rsidRDefault="002F1A56" w:rsidP="002F1A56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Оценка расходов и доходов субъектов предпринимательской и иной экономической деятельности, связанных с необходимостью соблюдения установленных обязанностей, запретов и ограничений либо изменением </w:t>
            </w:r>
            <w:r>
              <w:rPr>
                <w:rFonts w:ascii="Times New Roman" w:hAnsi="Times New Roman" w:cs="Times New Roman"/>
              </w:rPr>
              <w:lastRenderedPageBreak/>
              <w:t>содержания таких обязанностей</w:t>
            </w:r>
          </w:p>
        </w:tc>
        <w:tc>
          <w:tcPr>
            <w:tcW w:w="5067" w:type="dxa"/>
          </w:tcPr>
          <w:p w:rsidR="009E2C11" w:rsidRPr="009E2C11" w:rsidRDefault="009E2C11" w:rsidP="009E2C11">
            <w:pPr>
              <w:pStyle w:val="a4"/>
              <w:ind w:left="33"/>
              <w:jc w:val="both"/>
              <w:rPr>
                <w:rFonts w:ascii="Times New Roman" w:hAnsi="Times New Roman" w:cs="Times New Roman"/>
              </w:rPr>
            </w:pPr>
            <w:r w:rsidRPr="009E2C11">
              <w:rPr>
                <w:rFonts w:ascii="Times New Roman" w:hAnsi="Times New Roman" w:cs="Times New Roman"/>
                <w:b/>
                <w:bCs/>
              </w:rPr>
              <w:lastRenderedPageBreak/>
              <w:t>Расходы бизнеса:</w:t>
            </w:r>
            <w:r w:rsidRPr="009E2C11">
              <w:rPr>
                <w:rFonts w:ascii="Times New Roman" w:hAnsi="Times New Roman" w:cs="Times New Roman"/>
              </w:rPr>
              <w:t xml:space="preserve"> рост прямых затрат на оплату права размещения рекламы на зданиях из-за увеличения базовой ставки; затраты на приведение документации в соответствие с новыми требованиями.</w:t>
            </w:r>
          </w:p>
          <w:p w:rsidR="009E2C11" w:rsidRDefault="009E2C11" w:rsidP="009E2C11">
            <w:pPr>
              <w:pStyle w:val="a4"/>
              <w:ind w:left="33"/>
              <w:jc w:val="both"/>
              <w:rPr>
                <w:rFonts w:ascii="Times New Roman" w:hAnsi="Times New Roman" w:cs="Times New Roman"/>
              </w:rPr>
            </w:pPr>
            <w:r w:rsidRPr="009E2C11">
              <w:rPr>
                <w:rFonts w:ascii="Times New Roman" w:hAnsi="Times New Roman" w:cs="Times New Roman"/>
                <w:b/>
                <w:bCs/>
              </w:rPr>
              <w:t>Доходы бюджета:</w:t>
            </w:r>
            <w:r w:rsidRPr="009E2C11">
              <w:rPr>
                <w:rFonts w:ascii="Times New Roman" w:hAnsi="Times New Roman" w:cs="Times New Roman"/>
              </w:rPr>
              <w:t xml:space="preserve"> прогнозируется стабильный рост поступлений от использования </w:t>
            </w:r>
            <w:r w:rsidRPr="009E2C11">
              <w:rPr>
                <w:rFonts w:ascii="Times New Roman" w:hAnsi="Times New Roman" w:cs="Times New Roman"/>
              </w:rPr>
              <w:lastRenderedPageBreak/>
              <w:t xml:space="preserve">муниципальной недвижимости (зданий) минимум на уровень инфляции + 15%. </w:t>
            </w:r>
          </w:p>
          <w:p w:rsidR="007F1F2D" w:rsidRPr="00FB531A" w:rsidRDefault="009E2C11" w:rsidP="009E2C11">
            <w:pPr>
              <w:pStyle w:val="a4"/>
              <w:ind w:left="33"/>
              <w:jc w:val="both"/>
              <w:rPr>
                <w:rFonts w:ascii="Times New Roman" w:hAnsi="Times New Roman"/>
                <w:color w:val="FF0000"/>
              </w:rPr>
            </w:pPr>
            <w:r w:rsidRPr="009E2C11">
              <w:rPr>
                <w:rFonts w:ascii="Times New Roman" w:hAnsi="Times New Roman" w:cs="Times New Roman"/>
              </w:rPr>
              <w:t>Доходы от использования земельных участков данным проектом не оцениваются и будут рассчитаны при разработке отдельного МПА.</w:t>
            </w:r>
          </w:p>
        </w:tc>
      </w:tr>
      <w:tr w:rsidR="00227988" w:rsidRPr="00EC5353" w:rsidTr="00EC5353">
        <w:tc>
          <w:tcPr>
            <w:tcW w:w="675" w:type="dxa"/>
          </w:tcPr>
          <w:p w:rsidR="003756BB" w:rsidRPr="00EC5353" w:rsidRDefault="00EE70FE" w:rsidP="00EC5353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8.</w:t>
            </w:r>
          </w:p>
        </w:tc>
        <w:tc>
          <w:tcPr>
            <w:tcW w:w="3828" w:type="dxa"/>
          </w:tcPr>
          <w:p w:rsidR="003756BB" w:rsidRPr="00EC5353" w:rsidRDefault="00EE70FE" w:rsidP="00EE70FE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Риски решения проблемы предложенным способом регулирования и риски негативных последствий</w:t>
            </w:r>
          </w:p>
        </w:tc>
        <w:tc>
          <w:tcPr>
            <w:tcW w:w="5067" w:type="dxa"/>
          </w:tcPr>
          <w:p w:rsidR="009B6C38" w:rsidRPr="009E2C11" w:rsidRDefault="009E2C11" w:rsidP="005A350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9E2C11">
              <w:rPr>
                <w:rFonts w:ascii="Times New Roman" w:hAnsi="Times New Roman" w:cs="Times New Roman"/>
              </w:rPr>
              <w:t>Принятие акта не повлечет существенных системных рисков. Основной риск — кратковременный уход мелких операторов МСП с рынка рекламы на зданиях из-за роста финансовой нагрузки. Риск минимизируется повышением общей прозрачности процедур именно для данного сегмента имущества.</w:t>
            </w:r>
          </w:p>
        </w:tc>
      </w:tr>
      <w:tr w:rsidR="00227988" w:rsidRPr="00EC5353" w:rsidTr="001F03F4">
        <w:tc>
          <w:tcPr>
            <w:tcW w:w="675" w:type="dxa"/>
          </w:tcPr>
          <w:p w:rsidR="003756BB" w:rsidRPr="00EC5353" w:rsidRDefault="00EE70FE" w:rsidP="00EC5353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3828" w:type="dxa"/>
          </w:tcPr>
          <w:p w:rsidR="003756BB" w:rsidRPr="00EC5353" w:rsidRDefault="00EE70FE" w:rsidP="00EE70FE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Индикативные показатели и иные способы (методы) оценки достижения заявленных целей регулирования, их прогнозные значения по годам</w:t>
            </w:r>
          </w:p>
        </w:tc>
        <w:tc>
          <w:tcPr>
            <w:tcW w:w="5067" w:type="dxa"/>
            <w:shd w:val="clear" w:color="auto" w:fill="auto"/>
          </w:tcPr>
          <w:p w:rsidR="009E2C11" w:rsidRPr="009E2C11" w:rsidRDefault="009E2C11" w:rsidP="001F03F4">
            <w:pPr>
              <w:jc w:val="both"/>
              <w:rPr>
                <w:rFonts w:ascii="Times New Roman" w:hAnsi="Times New Roman" w:cs="Times New Roman"/>
              </w:rPr>
            </w:pPr>
            <w:r w:rsidRPr="009E2C11">
              <w:rPr>
                <w:rFonts w:ascii="Times New Roman" w:hAnsi="Times New Roman" w:cs="Times New Roman"/>
                <w:b/>
                <w:bCs/>
              </w:rPr>
              <w:t>Количественные (применительно к зданиям):</w:t>
            </w:r>
            <w:r w:rsidRPr="009E2C11">
              <w:rPr>
                <w:rFonts w:ascii="Times New Roman" w:hAnsi="Times New Roman" w:cs="Times New Roman"/>
              </w:rPr>
              <w:t xml:space="preserve"> доходы бюджета от аренды фасадов; количество участников на лот (</w:t>
            </w:r>
            <w:r w:rsidRPr="009E2C11">
              <w:rPr>
                <w:rStyle w:val="katex-mathml"/>
                <w:rFonts w:ascii="Times New Roman" w:hAnsi="Times New Roman" w:cs="Times New Roman"/>
              </w:rPr>
              <w:t>≥</w:t>
            </w:r>
            <w:r w:rsidRPr="009E2C11">
              <w:rPr>
                <w:rFonts w:ascii="Times New Roman" w:hAnsi="Times New Roman" w:cs="Times New Roman"/>
              </w:rPr>
              <w:t xml:space="preserve"> 2); собираемость платежей (100%).</w:t>
            </w:r>
          </w:p>
          <w:p w:rsidR="002E2BDE" w:rsidRPr="009E2C11" w:rsidRDefault="009E2C11" w:rsidP="001F03F4">
            <w:pPr>
              <w:jc w:val="both"/>
              <w:rPr>
                <w:rFonts w:ascii="Times New Roman" w:hAnsi="Times New Roman" w:cs="Times New Roman"/>
              </w:rPr>
            </w:pPr>
            <w:r w:rsidRPr="009E2C11">
              <w:rPr>
                <w:rFonts w:ascii="Times New Roman" w:hAnsi="Times New Roman" w:cs="Times New Roman"/>
                <w:b/>
                <w:bCs/>
              </w:rPr>
              <w:t>Качественные:</w:t>
            </w:r>
            <w:r w:rsidRPr="009E2C11">
              <w:rPr>
                <w:rFonts w:ascii="Times New Roman" w:hAnsi="Times New Roman" w:cs="Times New Roman"/>
              </w:rPr>
              <w:t xml:space="preserve"> сокращение сроков обработки заявок на 15–20%; снижение количества жалоб предпринимателей до нуля; достижение показателя нарушений ФАС — 0.</w:t>
            </w:r>
          </w:p>
        </w:tc>
      </w:tr>
      <w:tr w:rsidR="00227988" w:rsidRPr="00EC5353" w:rsidTr="001F03F4">
        <w:tc>
          <w:tcPr>
            <w:tcW w:w="675" w:type="dxa"/>
          </w:tcPr>
          <w:p w:rsidR="00EE70FE" w:rsidRPr="00EC5353" w:rsidRDefault="00EE70FE" w:rsidP="00EC5353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3828" w:type="dxa"/>
          </w:tcPr>
          <w:p w:rsidR="00EE70FE" w:rsidRPr="00EC5353" w:rsidRDefault="00EE70FE" w:rsidP="00EE70FE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Предлагаемая дата вступления в силу проекта акта, необходимость установления переходных положений (переходных периодов)</w:t>
            </w:r>
          </w:p>
        </w:tc>
        <w:tc>
          <w:tcPr>
            <w:tcW w:w="5067" w:type="dxa"/>
            <w:shd w:val="clear" w:color="auto" w:fill="auto"/>
          </w:tcPr>
          <w:p w:rsidR="00EE70FE" w:rsidRPr="009E2C11" w:rsidRDefault="00BE5015" w:rsidP="00EC5353">
            <w:pPr>
              <w:contextualSpacing/>
              <w:rPr>
                <w:rFonts w:ascii="Times New Roman" w:hAnsi="Times New Roman" w:cs="Times New Roman"/>
              </w:rPr>
            </w:pPr>
            <w:r w:rsidRPr="009E2C11">
              <w:rPr>
                <w:rFonts w:ascii="Times New Roman" w:hAnsi="Times New Roman" w:cs="Times New Roman"/>
              </w:rPr>
              <w:t xml:space="preserve">01 </w:t>
            </w:r>
            <w:r w:rsidR="009E2C11" w:rsidRPr="009E2C11">
              <w:rPr>
                <w:rFonts w:ascii="Times New Roman" w:hAnsi="Times New Roman" w:cs="Times New Roman"/>
              </w:rPr>
              <w:t>октября</w:t>
            </w:r>
            <w:r w:rsidR="00BD7D2D" w:rsidRPr="009E2C11">
              <w:rPr>
                <w:rFonts w:ascii="Times New Roman" w:hAnsi="Times New Roman" w:cs="Times New Roman"/>
              </w:rPr>
              <w:t xml:space="preserve"> </w:t>
            </w:r>
            <w:r w:rsidR="00EE70FE" w:rsidRPr="009E2C11">
              <w:rPr>
                <w:rFonts w:ascii="Times New Roman" w:hAnsi="Times New Roman" w:cs="Times New Roman"/>
              </w:rPr>
              <w:t>202</w:t>
            </w:r>
            <w:r w:rsidR="00F768B6" w:rsidRPr="009E2C11">
              <w:rPr>
                <w:rFonts w:ascii="Times New Roman" w:hAnsi="Times New Roman" w:cs="Times New Roman"/>
              </w:rPr>
              <w:t>6</w:t>
            </w:r>
            <w:r w:rsidR="00EE70FE" w:rsidRPr="009E2C11">
              <w:rPr>
                <w:rFonts w:ascii="Times New Roman" w:hAnsi="Times New Roman" w:cs="Times New Roman"/>
              </w:rPr>
              <w:t xml:space="preserve"> г.</w:t>
            </w:r>
          </w:p>
          <w:p w:rsidR="002D5896" w:rsidRPr="009E2C11" w:rsidRDefault="009E2C11" w:rsidP="0008389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9E2C11">
              <w:rPr>
                <w:rFonts w:ascii="Times New Roman" w:hAnsi="Times New Roman" w:cs="Times New Roman"/>
              </w:rPr>
              <w:t>Необходимость установления переходных положений отсутствует. Постановление от 25.10.2023 № 1436/10 признается утратившим силу в части, касающейся зданий, строений и сооружений.</w:t>
            </w:r>
          </w:p>
        </w:tc>
      </w:tr>
      <w:tr w:rsidR="00227988" w:rsidRPr="00EC5353" w:rsidTr="00EC5353">
        <w:tc>
          <w:tcPr>
            <w:tcW w:w="675" w:type="dxa"/>
          </w:tcPr>
          <w:p w:rsidR="00EE70FE" w:rsidRPr="00EC5353" w:rsidRDefault="00EE70FE" w:rsidP="00EC5353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3828" w:type="dxa"/>
          </w:tcPr>
          <w:p w:rsidR="00EE70FE" w:rsidRPr="00EC5353" w:rsidRDefault="00EE70FE" w:rsidP="00EE70FE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Иные сведения, которые по мнению разработчика, позволяют оценить обоснованность правового регулирования</w:t>
            </w:r>
          </w:p>
        </w:tc>
        <w:tc>
          <w:tcPr>
            <w:tcW w:w="5067" w:type="dxa"/>
          </w:tcPr>
          <w:p w:rsidR="00EE70FE" w:rsidRPr="00EA42E3" w:rsidRDefault="00B53C16" w:rsidP="00EE70FE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A42E3">
              <w:rPr>
                <w:rFonts w:ascii="Times New Roman" w:hAnsi="Times New Roman" w:cs="Times New Roman"/>
              </w:rPr>
              <w:t>Отсутствуют.</w:t>
            </w:r>
          </w:p>
        </w:tc>
      </w:tr>
      <w:tr w:rsidR="00227988" w:rsidRPr="00EC5353" w:rsidTr="00EC5353">
        <w:tc>
          <w:tcPr>
            <w:tcW w:w="675" w:type="dxa"/>
          </w:tcPr>
          <w:p w:rsidR="00EE70FE" w:rsidRPr="00EC5353" w:rsidRDefault="00EE70FE" w:rsidP="00EC5353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3828" w:type="dxa"/>
          </w:tcPr>
          <w:p w:rsidR="00EE70FE" w:rsidRPr="00EC5353" w:rsidRDefault="00EE70FE" w:rsidP="00EE70FE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 о сроках проведения публичных консультаций по проекту акта</w:t>
            </w:r>
          </w:p>
        </w:tc>
        <w:tc>
          <w:tcPr>
            <w:tcW w:w="5067" w:type="dxa"/>
          </w:tcPr>
          <w:p w:rsidR="00EE70FE" w:rsidRPr="00EF081F" w:rsidRDefault="00EE70FE" w:rsidP="00EA148D">
            <w:pPr>
              <w:contextualSpacing/>
              <w:rPr>
                <w:rFonts w:ascii="Times New Roman" w:hAnsi="Times New Roman" w:cs="Times New Roman"/>
                <w:color w:val="FF0000"/>
              </w:rPr>
            </w:pPr>
            <w:r w:rsidRPr="00EA148D">
              <w:rPr>
                <w:rFonts w:ascii="Times New Roman" w:hAnsi="Times New Roman" w:cs="Times New Roman"/>
              </w:rPr>
              <w:t xml:space="preserve">С </w:t>
            </w:r>
            <w:r w:rsidR="00EA148D" w:rsidRPr="00EA148D">
              <w:rPr>
                <w:rFonts w:ascii="Times New Roman" w:hAnsi="Times New Roman" w:cs="Times New Roman"/>
              </w:rPr>
              <w:t>24 июля по 07 августа</w:t>
            </w:r>
            <w:r w:rsidR="00F768B6" w:rsidRPr="00EA148D">
              <w:rPr>
                <w:rFonts w:ascii="Times New Roman" w:hAnsi="Times New Roman" w:cs="Times New Roman"/>
              </w:rPr>
              <w:t xml:space="preserve"> 2026</w:t>
            </w:r>
            <w:r w:rsidRPr="00EA148D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EC5353" w:rsidRDefault="00EC5353" w:rsidP="00EC5353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6C0709" w:rsidRDefault="006C0709" w:rsidP="00EC5353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6C0709" w:rsidRPr="00EC5353" w:rsidRDefault="006C0709" w:rsidP="00EC5353">
      <w:pPr>
        <w:spacing w:after="0" w:line="240" w:lineRule="auto"/>
        <w:contextualSpacing/>
        <w:rPr>
          <w:rFonts w:ascii="Times New Roman" w:hAnsi="Times New Roman" w:cs="Times New Roman"/>
        </w:rPr>
      </w:pPr>
    </w:p>
    <w:sectPr w:rsidR="006C0709" w:rsidRPr="00EC5353" w:rsidSect="00EC535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92E66"/>
    <w:multiLevelType w:val="multilevel"/>
    <w:tmpl w:val="7652AD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941919"/>
    <w:multiLevelType w:val="hybridMultilevel"/>
    <w:tmpl w:val="277660F0"/>
    <w:lvl w:ilvl="0" w:tplc="C5D07092">
      <w:start w:val="1"/>
      <w:numFmt w:val="decimal"/>
      <w:lvlText w:val="%1."/>
      <w:lvlJc w:val="left"/>
      <w:pPr>
        <w:ind w:left="67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2">
    <w:nsid w:val="0320003D"/>
    <w:multiLevelType w:val="hybridMultilevel"/>
    <w:tmpl w:val="13E23318"/>
    <w:lvl w:ilvl="0" w:tplc="55D2D892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3">
    <w:nsid w:val="03550291"/>
    <w:multiLevelType w:val="multilevel"/>
    <w:tmpl w:val="53A8A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7E45FC1"/>
    <w:multiLevelType w:val="multilevel"/>
    <w:tmpl w:val="9462E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BC37109"/>
    <w:multiLevelType w:val="multilevel"/>
    <w:tmpl w:val="723E1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2903FF8"/>
    <w:multiLevelType w:val="multilevel"/>
    <w:tmpl w:val="9C945BB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4455A9D"/>
    <w:multiLevelType w:val="multilevel"/>
    <w:tmpl w:val="05FCF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07C5D87"/>
    <w:multiLevelType w:val="multilevel"/>
    <w:tmpl w:val="546081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2A412F47"/>
    <w:multiLevelType w:val="hybridMultilevel"/>
    <w:tmpl w:val="0EC856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CA6E1B"/>
    <w:multiLevelType w:val="multilevel"/>
    <w:tmpl w:val="8B00E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EC860E5"/>
    <w:multiLevelType w:val="hybridMultilevel"/>
    <w:tmpl w:val="184804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6B5811"/>
    <w:multiLevelType w:val="multilevel"/>
    <w:tmpl w:val="77987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FDA6EC9"/>
    <w:multiLevelType w:val="multilevel"/>
    <w:tmpl w:val="B506555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48A4775"/>
    <w:multiLevelType w:val="multilevel"/>
    <w:tmpl w:val="409AD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8567352"/>
    <w:multiLevelType w:val="multilevel"/>
    <w:tmpl w:val="E9448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3351392"/>
    <w:multiLevelType w:val="multilevel"/>
    <w:tmpl w:val="16FE7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3E85E6A"/>
    <w:multiLevelType w:val="multilevel"/>
    <w:tmpl w:val="BA42F5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C4C3F8E"/>
    <w:multiLevelType w:val="hybridMultilevel"/>
    <w:tmpl w:val="90CC89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F192F2F"/>
    <w:multiLevelType w:val="hybridMultilevel"/>
    <w:tmpl w:val="3E6072D0"/>
    <w:lvl w:ilvl="0" w:tplc="30020228">
      <w:start w:val="1"/>
      <w:numFmt w:val="decimal"/>
      <w:lvlText w:val="%1."/>
      <w:lvlJc w:val="left"/>
      <w:pPr>
        <w:ind w:left="785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0">
    <w:nsid w:val="57BD2545"/>
    <w:multiLevelType w:val="multilevel"/>
    <w:tmpl w:val="E1A87F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8AE657F"/>
    <w:multiLevelType w:val="multilevel"/>
    <w:tmpl w:val="10201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C1E4219"/>
    <w:multiLevelType w:val="multilevel"/>
    <w:tmpl w:val="D8EEC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CE33E68"/>
    <w:multiLevelType w:val="multilevel"/>
    <w:tmpl w:val="B6509AE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0D809CA"/>
    <w:multiLevelType w:val="multilevel"/>
    <w:tmpl w:val="9CEC8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14448CA"/>
    <w:multiLevelType w:val="multilevel"/>
    <w:tmpl w:val="62EC72E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3ED4C7A"/>
    <w:multiLevelType w:val="multilevel"/>
    <w:tmpl w:val="78AE0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76017C4"/>
    <w:multiLevelType w:val="hybridMultilevel"/>
    <w:tmpl w:val="6186D4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A1036A7"/>
    <w:multiLevelType w:val="multilevel"/>
    <w:tmpl w:val="CB3AFF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CB11E14"/>
    <w:multiLevelType w:val="hybridMultilevel"/>
    <w:tmpl w:val="17D829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1715CF3"/>
    <w:multiLevelType w:val="multilevel"/>
    <w:tmpl w:val="43080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B831151"/>
    <w:multiLevelType w:val="multilevel"/>
    <w:tmpl w:val="0ACA2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F970539"/>
    <w:multiLevelType w:val="multilevel"/>
    <w:tmpl w:val="0ED09A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9"/>
  </w:num>
  <w:num w:numId="2">
    <w:abstractNumId w:val="19"/>
  </w:num>
  <w:num w:numId="3">
    <w:abstractNumId w:val="21"/>
  </w:num>
  <w:num w:numId="4">
    <w:abstractNumId w:val="3"/>
  </w:num>
  <w:num w:numId="5">
    <w:abstractNumId w:val="20"/>
  </w:num>
  <w:num w:numId="6">
    <w:abstractNumId w:val="26"/>
  </w:num>
  <w:num w:numId="7">
    <w:abstractNumId w:val="6"/>
  </w:num>
  <w:num w:numId="8">
    <w:abstractNumId w:val="16"/>
  </w:num>
  <w:num w:numId="9">
    <w:abstractNumId w:val="17"/>
  </w:num>
  <w:num w:numId="10">
    <w:abstractNumId w:val="14"/>
  </w:num>
  <w:num w:numId="11">
    <w:abstractNumId w:val="25"/>
  </w:num>
  <w:num w:numId="12">
    <w:abstractNumId w:val="22"/>
  </w:num>
  <w:num w:numId="13">
    <w:abstractNumId w:val="32"/>
  </w:num>
  <w:num w:numId="14">
    <w:abstractNumId w:val="0"/>
  </w:num>
  <w:num w:numId="15">
    <w:abstractNumId w:val="12"/>
  </w:num>
  <w:num w:numId="16">
    <w:abstractNumId w:val="13"/>
  </w:num>
  <w:num w:numId="17">
    <w:abstractNumId w:val="24"/>
  </w:num>
  <w:num w:numId="18">
    <w:abstractNumId w:val="28"/>
  </w:num>
  <w:num w:numId="19">
    <w:abstractNumId w:val="5"/>
  </w:num>
  <w:num w:numId="20">
    <w:abstractNumId w:val="23"/>
  </w:num>
  <w:num w:numId="21">
    <w:abstractNumId w:val="4"/>
  </w:num>
  <w:num w:numId="22">
    <w:abstractNumId w:val="31"/>
  </w:num>
  <w:num w:numId="23">
    <w:abstractNumId w:val="9"/>
  </w:num>
  <w:num w:numId="24">
    <w:abstractNumId w:val="11"/>
  </w:num>
  <w:num w:numId="25">
    <w:abstractNumId w:val="18"/>
  </w:num>
  <w:num w:numId="26">
    <w:abstractNumId w:val="27"/>
  </w:num>
  <w:num w:numId="27">
    <w:abstractNumId w:val="2"/>
  </w:num>
  <w:num w:numId="28">
    <w:abstractNumId w:val="1"/>
  </w:num>
  <w:num w:numId="29">
    <w:abstractNumId w:val="8"/>
  </w:num>
  <w:num w:numId="30">
    <w:abstractNumId w:val="15"/>
  </w:num>
  <w:num w:numId="31">
    <w:abstractNumId w:val="30"/>
  </w:num>
  <w:num w:numId="32">
    <w:abstractNumId w:val="7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3066"/>
    <w:rsid w:val="0002381C"/>
    <w:rsid w:val="000352C5"/>
    <w:rsid w:val="0003762D"/>
    <w:rsid w:val="000473CA"/>
    <w:rsid w:val="00053C9E"/>
    <w:rsid w:val="00064B91"/>
    <w:rsid w:val="00067341"/>
    <w:rsid w:val="00082587"/>
    <w:rsid w:val="0008389A"/>
    <w:rsid w:val="00092826"/>
    <w:rsid w:val="000A5146"/>
    <w:rsid w:val="000B12F7"/>
    <w:rsid w:val="000D20BE"/>
    <w:rsid w:val="000D62EB"/>
    <w:rsid w:val="000F2689"/>
    <w:rsid w:val="00136563"/>
    <w:rsid w:val="00140D75"/>
    <w:rsid w:val="0014340C"/>
    <w:rsid w:val="00160F87"/>
    <w:rsid w:val="00166CD7"/>
    <w:rsid w:val="001755B3"/>
    <w:rsid w:val="00181227"/>
    <w:rsid w:val="001901E4"/>
    <w:rsid w:val="0019296E"/>
    <w:rsid w:val="001A203D"/>
    <w:rsid w:val="001B7C80"/>
    <w:rsid w:val="001F03F4"/>
    <w:rsid w:val="001F5372"/>
    <w:rsid w:val="0021158E"/>
    <w:rsid w:val="0022466C"/>
    <w:rsid w:val="00227988"/>
    <w:rsid w:val="002315DE"/>
    <w:rsid w:val="002316D0"/>
    <w:rsid w:val="002546D1"/>
    <w:rsid w:val="0026265B"/>
    <w:rsid w:val="00265CDA"/>
    <w:rsid w:val="00274F97"/>
    <w:rsid w:val="00281722"/>
    <w:rsid w:val="00284058"/>
    <w:rsid w:val="00291613"/>
    <w:rsid w:val="002934F9"/>
    <w:rsid w:val="00295294"/>
    <w:rsid w:val="00295B45"/>
    <w:rsid w:val="00295FB7"/>
    <w:rsid w:val="002B0C75"/>
    <w:rsid w:val="002B354E"/>
    <w:rsid w:val="002D3E7A"/>
    <w:rsid w:val="002D5896"/>
    <w:rsid w:val="002D5B05"/>
    <w:rsid w:val="002E0B6C"/>
    <w:rsid w:val="002E27CB"/>
    <w:rsid w:val="002E2BDE"/>
    <w:rsid w:val="002F1A56"/>
    <w:rsid w:val="003011F8"/>
    <w:rsid w:val="003107B5"/>
    <w:rsid w:val="00312C87"/>
    <w:rsid w:val="003358D7"/>
    <w:rsid w:val="00344B7F"/>
    <w:rsid w:val="003535E2"/>
    <w:rsid w:val="00365E8E"/>
    <w:rsid w:val="003660DE"/>
    <w:rsid w:val="0036769D"/>
    <w:rsid w:val="00374419"/>
    <w:rsid w:val="003756BB"/>
    <w:rsid w:val="00387C2D"/>
    <w:rsid w:val="003A08B1"/>
    <w:rsid w:val="003A0CF3"/>
    <w:rsid w:val="003A78BF"/>
    <w:rsid w:val="003B0916"/>
    <w:rsid w:val="003C1C1B"/>
    <w:rsid w:val="003D31E3"/>
    <w:rsid w:val="003F1E08"/>
    <w:rsid w:val="004043A7"/>
    <w:rsid w:val="0040480C"/>
    <w:rsid w:val="004103F8"/>
    <w:rsid w:val="00410D4D"/>
    <w:rsid w:val="00411B99"/>
    <w:rsid w:val="004253F6"/>
    <w:rsid w:val="00433070"/>
    <w:rsid w:val="004417C9"/>
    <w:rsid w:val="00445CFA"/>
    <w:rsid w:val="00447C99"/>
    <w:rsid w:val="00450DBA"/>
    <w:rsid w:val="0046121D"/>
    <w:rsid w:val="00467FD3"/>
    <w:rsid w:val="004778FD"/>
    <w:rsid w:val="004B09BE"/>
    <w:rsid w:val="004B1FCB"/>
    <w:rsid w:val="004F012F"/>
    <w:rsid w:val="004F244D"/>
    <w:rsid w:val="004F3B2D"/>
    <w:rsid w:val="00513DA5"/>
    <w:rsid w:val="005143F2"/>
    <w:rsid w:val="00514C45"/>
    <w:rsid w:val="005257FC"/>
    <w:rsid w:val="0053643E"/>
    <w:rsid w:val="005433D7"/>
    <w:rsid w:val="0056026D"/>
    <w:rsid w:val="005610E9"/>
    <w:rsid w:val="0057298B"/>
    <w:rsid w:val="00582909"/>
    <w:rsid w:val="005A0C5B"/>
    <w:rsid w:val="005A3507"/>
    <w:rsid w:val="005B1DA5"/>
    <w:rsid w:val="005B2B0F"/>
    <w:rsid w:val="005C2BEA"/>
    <w:rsid w:val="005F7194"/>
    <w:rsid w:val="00603D4F"/>
    <w:rsid w:val="00610776"/>
    <w:rsid w:val="00616F1D"/>
    <w:rsid w:val="0061788E"/>
    <w:rsid w:val="00620EFC"/>
    <w:rsid w:val="00621124"/>
    <w:rsid w:val="00640CF0"/>
    <w:rsid w:val="006536BC"/>
    <w:rsid w:val="0067171E"/>
    <w:rsid w:val="0067497C"/>
    <w:rsid w:val="00677199"/>
    <w:rsid w:val="006875CF"/>
    <w:rsid w:val="006A0E45"/>
    <w:rsid w:val="006A6B24"/>
    <w:rsid w:val="006C0709"/>
    <w:rsid w:val="006C411E"/>
    <w:rsid w:val="006C469C"/>
    <w:rsid w:val="006E0451"/>
    <w:rsid w:val="006E0B1F"/>
    <w:rsid w:val="006E66EC"/>
    <w:rsid w:val="006F5561"/>
    <w:rsid w:val="00704C5B"/>
    <w:rsid w:val="00705CAC"/>
    <w:rsid w:val="00716994"/>
    <w:rsid w:val="00721862"/>
    <w:rsid w:val="00725186"/>
    <w:rsid w:val="007355D2"/>
    <w:rsid w:val="00742A30"/>
    <w:rsid w:val="0074335B"/>
    <w:rsid w:val="00745A75"/>
    <w:rsid w:val="007732A2"/>
    <w:rsid w:val="00773819"/>
    <w:rsid w:val="00776E72"/>
    <w:rsid w:val="007878F5"/>
    <w:rsid w:val="007929F5"/>
    <w:rsid w:val="007B7DE4"/>
    <w:rsid w:val="007C58E7"/>
    <w:rsid w:val="007F1F2D"/>
    <w:rsid w:val="00815383"/>
    <w:rsid w:val="00825953"/>
    <w:rsid w:val="00836AEF"/>
    <w:rsid w:val="0084241C"/>
    <w:rsid w:val="00850962"/>
    <w:rsid w:val="00851A9E"/>
    <w:rsid w:val="0085581D"/>
    <w:rsid w:val="0085722F"/>
    <w:rsid w:val="00860015"/>
    <w:rsid w:val="008619A0"/>
    <w:rsid w:val="00863AB3"/>
    <w:rsid w:val="0087002A"/>
    <w:rsid w:val="00870F9C"/>
    <w:rsid w:val="00876EC4"/>
    <w:rsid w:val="00882657"/>
    <w:rsid w:val="0089420D"/>
    <w:rsid w:val="008A266F"/>
    <w:rsid w:val="008A6005"/>
    <w:rsid w:val="008B7547"/>
    <w:rsid w:val="008E52D7"/>
    <w:rsid w:val="008E59F3"/>
    <w:rsid w:val="008F3BDA"/>
    <w:rsid w:val="0090544F"/>
    <w:rsid w:val="009143DB"/>
    <w:rsid w:val="00922EDC"/>
    <w:rsid w:val="009243FE"/>
    <w:rsid w:val="009305A0"/>
    <w:rsid w:val="00932985"/>
    <w:rsid w:val="00933097"/>
    <w:rsid w:val="00933B70"/>
    <w:rsid w:val="00943066"/>
    <w:rsid w:val="00947C32"/>
    <w:rsid w:val="00951F35"/>
    <w:rsid w:val="009530CE"/>
    <w:rsid w:val="0096302F"/>
    <w:rsid w:val="009647EB"/>
    <w:rsid w:val="0097146B"/>
    <w:rsid w:val="00991054"/>
    <w:rsid w:val="00991CFF"/>
    <w:rsid w:val="009B6C38"/>
    <w:rsid w:val="009D2034"/>
    <w:rsid w:val="009D323A"/>
    <w:rsid w:val="009D52A4"/>
    <w:rsid w:val="009D6523"/>
    <w:rsid w:val="009E2C11"/>
    <w:rsid w:val="00A11ED2"/>
    <w:rsid w:val="00A204ED"/>
    <w:rsid w:val="00A2570B"/>
    <w:rsid w:val="00A315F8"/>
    <w:rsid w:val="00A34CF0"/>
    <w:rsid w:val="00A43400"/>
    <w:rsid w:val="00A52E2B"/>
    <w:rsid w:val="00A56270"/>
    <w:rsid w:val="00A615EC"/>
    <w:rsid w:val="00A61E26"/>
    <w:rsid w:val="00A62681"/>
    <w:rsid w:val="00A6279B"/>
    <w:rsid w:val="00A63212"/>
    <w:rsid w:val="00A65621"/>
    <w:rsid w:val="00A716CA"/>
    <w:rsid w:val="00A810AB"/>
    <w:rsid w:val="00A81BA5"/>
    <w:rsid w:val="00AA4B3E"/>
    <w:rsid w:val="00AA6CB6"/>
    <w:rsid w:val="00AC2713"/>
    <w:rsid w:val="00AD44A5"/>
    <w:rsid w:val="00AD542F"/>
    <w:rsid w:val="00B01601"/>
    <w:rsid w:val="00B04459"/>
    <w:rsid w:val="00B13A4C"/>
    <w:rsid w:val="00B269C6"/>
    <w:rsid w:val="00B501E9"/>
    <w:rsid w:val="00B53C16"/>
    <w:rsid w:val="00B74B11"/>
    <w:rsid w:val="00B805F5"/>
    <w:rsid w:val="00B80B1C"/>
    <w:rsid w:val="00B8333F"/>
    <w:rsid w:val="00B834E4"/>
    <w:rsid w:val="00B9597E"/>
    <w:rsid w:val="00BA5B44"/>
    <w:rsid w:val="00BD37B6"/>
    <w:rsid w:val="00BD7D2D"/>
    <w:rsid w:val="00BE5015"/>
    <w:rsid w:val="00BF2C47"/>
    <w:rsid w:val="00BF76C7"/>
    <w:rsid w:val="00C0132E"/>
    <w:rsid w:val="00C015C8"/>
    <w:rsid w:val="00C03A22"/>
    <w:rsid w:val="00C06C05"/>
    <w:rsid w:val="00C15109"/>
    <w:rsid w:val="00C177AA"/>
    <w:rsid w:val="00C2282B"/>
    <w:rsid w:val="00C25781"/>
    <w:rsid w:val="00C42A38"/>
    <w:rsid w:val="00C4641A"/>
    <w:rsid w:val="00C755A8"/>
    <w:rsid w:val="00C875F6"/>
    <w:rsid w:val="00CC45C2"/>
    <w:rsid w:val="00CD0AB7"/>
    <w:rsid w:val="00CE6135"/>
    <w:rsid w:val="00CF324B"/>
    <w:rsid w:val="00D051FB"/>
    <w:rsid w:val="00D1165E"/>
    <w:rsid w:val="00D17930"/>
    <w:rsid w:val="00D215F1"/>
    <w:rsid w:val="00D41BC7"/>
    <w:rsid w:val="00D437A7"/>
    <w:rsid w:val="00D54EBB"/>
    <w:rsid w:val="00D558C2"/>
    <w:rsid w:val="00D705BD"/>
    <w:rsid w:val="00D77F87"/>
    <w:rsid w:val="00DA3BE1"/>
    <w:rsid w:val="00DF743F"/>
    <w:rsid w:val="00E06E00"/>
    <w:rsid w:val="00E178D9"/>
    <w:rsid w:val="00E17EF7"/>
    <w:rsid w:val="00E246CE"/>
    <w:rsid w:val="00E31F10"/>
    <w:rsid w:val="00E43757"/>
    <w:rsid w:val="00E45E93"/>
    <w:rsid w:val="00E71973"/>
    <w:rsid w:val="00E72E95"/>
    <w:rsid w:val="00E80A99"/>
    <w:rsid w:val="00E8344D"/>
    <w:rsid w:val="00E91F47"/>
    <w:rsid w:val="00E974DF"/>
    <w:rsid w:val="00E977DC"/>
    <w:rsid w:val="00EA148D"/>
    <w:rsid w:val="00EA42E3"/>
    <w:rsid w:val="00EB3FF5"/>
    <w:rsid w:val="00EB7869"/>
    <w:rsid w:val="00EC5353"/>
    <w:rsid w:val="00EC62FC"/>
    <w:rsid w:val="00EE6B26"/>
    <w:rsid w:val="00EE70FE"/>
    <w:rsid w:val="00EF008C"/>
    <w:rsid w:val="00EF081F"/>
    <w:rsid w:val="00EF4659"/>
    <w:rsid w:val="00EF480B"/>
    <w:rsid w:val="00F26F10"/>
    <w:rsid w:val="00F27412"/>
    <w:rsid w:val="00F32F4F"/>
    <w:rsid w:val="00F36C19"/>
    <w:rsid w:val="00F375C9"/>
    <w:rsid w:val="00F52F24"/>
    <w:rsid w:val="00F54971"/>
    <w:rsid w:val="00F63A1D"/>
    <w:rsid w:val="00F65E54"/>
    <w:rsid w:val="00F66ED1"/>
    <w:rsid w:val="00F768B6"/>
    <w:rsid w:val="00F77D58"/>
    <w:rsid w:val="00F94B8E"/>
    <w:rsid w:val="00F9568C"/>
    <w:rsid w:val="00FA630F"/>
    <w:rsid w:val="00FA734A"/>
    <w:rsid w:val="00FB293B"/>
    <w:rsid w:val="00FB531A"/>
    <w:rsid w:val="00FC2CAC"/>
    <w:rsid w:val="00FD08EE"/>
    <w:rsid w:val="00FD1570"/>
    <w:rsid w:val="00FD604F"/>
    <w:rsid w:val="00FE0970"/>
    <w:rsid w:val="00FE43AE"/>
    <w:rsid w:val="00FE5663"/>
    <w:rsid w:val="00FE6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647E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4103F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53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7002A"/>
    <w:pPr>
      <w:ind w:left="720"/>
      <w:contextualSpacing/>
    </w:pPr>
  </w:style>
  <w:style w:type="character" w:styleId="a5">
    <w:name w:val="Strong"/>
    <w:basedOn w:val="a0"/>
    <w:uiPriority w:val="22"/>
    <w:qFormat/>
    <w:rsid w:val="005610E9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4103F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6">
    <w:name w:val="Normal (Web)"/>
    <w:basedOn w:val="a"/>
    <w:uiPriority w:val="99"/>
    <w:unhideWhenUsed/>
    <w:rsid w:val="004103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9647E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markdown-word">
    <w:name w:val="markdown-word"/>
    <w:basedOn w:val="a0"/>
    <w:rsid w:val="007929F5"/>
  </w:style>
  <w:style w:type="paragraph" w:customStyle="1" w:styleId="paragraph-styledstyledparagraph-sc-a650b026-0">
    <w:name w:val="paragraph-styled__styledparagraph-sc-a650b026-0"/>
    <w:basedOn w:val="a"/>
    <w:rsid w:val="002E2B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A52E2B"/>
    <w:rPr>
      <w:i/>
      <w:iCs/>
    </w:rPr>
  </w:style>
  <w:style w:type="character" w:customStyle="1" w:styleId="katex-mathml">
    <w:name w:val="katex-mathml"/>
    <w:basedOn w:val="a0"/>
    <w:rsid w:val="009E2C11"/>
  </w:style>
  <w:style w:type="character" w:customStyle="1" w:styleId="mord">
    <w:name w:val="mord"/>
    <w:basedOn w:val="a0"/>
    <w:rsid w:val="009E2C11"/>
  </w:style>
  <w:style w:type="character" w:customStyle="1" w:styleId="mrel">
    <w:name w:val="mrel"/>
    <w:basedOn w:val="a0"/>
    <w:rsid w:val="009E2C11"/>
  </w:style>
  <w:style w:type="character" w:customStyle="1" w:styleId="mbin">
    <w:name w:val="mbin"/>
    <w:basedOn w:val="a0"/>
    <w:rsid w:val="009E2C1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647E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4103F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53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7002A"/>
    <w:pPr>
      <w:ind w:left="720"/>
      <w:contextualSpacing/>
    </w:pPr>
  </w:style>
  <w:style w:type="character" w:styleId="a5">
    <w:name w:val="Strong"/>
    <w:basedOn w:val="a0"/>
    <w:uiPriority w:val="22"/>
    <w:qFormat/>
    <w:rsid w:val="005610E9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4103F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6">
    <w:name w:val="Normal (Web)"/>
    <w:basedOn w:val="a"/>
    <w:uiPriority w:val="99"/>
    <w:unhideWhenUsed/>
    <w:rsid w:val="004103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9647E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markdown-word">
    <w:name w:val="markdown-word"/>
    <w:basedOn w:val="a0"/>
    <w:rsid w:val="007929F5"/>
  </w:style>
  <w:style w:type="paragraph" w:customStyle="1" w:styleId="paragraph-styledstyledparagraph-sc-a650b026-0">
    <w:name w:val="paragraph-styled__styledparagraph-sc-a650b026-0"/>
    <w:basedOn w:val="a"/>
    <w:rsid w:val="002E2B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A52E2B"/>
    <w:rPr>
      <w:i/>
      <w:iCs/>
    </w:rPr>
  </w:style>
  <w:style w:type="character" w:customStyle="1" w:styleId="katex-mathml">
    <w:name w:val="katex-mathml"/>
    <w:basedOn w:val="a0"/>
    <w:rsid w:val="009E2C11"/>
  </w:style>
  <w:style w:type="character" w:customStyle="1" w:styleId="mord">
    <w:name w:val="mord"/>
    <w:basedOn w:val="a0"/>
    <w:rsid w:val="009E2C11"/>
  </w:style>
  <w:style w:type="character" w:customStyle="1" w:styleId="mrel">
    <w:name w:val="mrel"/>
    <w:basedOn w:val="a0"/>
    <w:rsid w:val="009E2C11"/>
  </w:style>
  <w:style w:type="character" w:customStyle="1" w:styleId="mbin">
    <w:name w:val="mbin"/>
    <w:basedOn w:val="a0"/>
    <w:rsid w:val="009E2C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87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040321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14134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544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759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770515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20837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55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88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8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0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7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4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1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6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8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0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0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3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3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3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437475-E1E6-456B-90CB-5C7DEAF7E7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1057</Words>
  <Characters>6029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2026-06-22T07:38:00Z</cp:lastPrinted>
  <dcterms:created xsi:type="dcterms:W3CDTF">2026-08-10T11:50:00Z</dcterms:created>
  <dcterms:modified xsi:type="dcterms:W3CDTF">2026-08-10T12:09:00Z</dcterms:modified>
</cp:coreProperties>
</file>