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7A6FE6">
      <w:pPr>
        <w:spacing w:after="30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C" w:rsidRPr="00F3509C" w:rsidRDefault="00F3509C" w:rsidP="00F3509C">
      <w:pPr>
        <w:spacing w:after="0" w:line="0" w:lineRule="atLeast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 w:rsidRPr="00F3509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28 декабря - срок уплаты патента и страховых фиксированных взносов.</w:t>
      </w:r>
    </w:p>
    <w:p w:rsidR="00F3509C" w:rsidRDefault="00F3509C" w:rsidP="00F3509C">
      <w:pPr>
        <w:spacing w:after="0" w:line="0" w:lineRule="atLeast"/>
        <w:jc w:val="both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E44A35" w:rsidRPr="00E44A35" w:rsidRDefault="00E44A35" w:rsidP="00E44A35">
      <w:pPr>
        <w:spacing w:before="240" w:after="0" w:line="0" w:lineRule="atLeast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E44A35">
        <w:rPr>
          <w:rFonts w:ascii="Montserrat Light" w:eastAsia="Times New Roman" w:hAnsi="Montserrat Light" w:cs="Times New Roman"/>
          <w:kern w:val="36"/>
          <w:sz w:val="24"/>
          <w:szCs w:val="24"/>
          <w:lang w:eastAsia="ru-RU"/>
        </w:rPr>
        <w:t xml:space="preserve">         </w:t>
      </w:r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Межрайонная ИФНС России № 6 по Московской области напоминает, что в соответствии с </w:t>
      </w:r>
      <w:hyperlink r:id="rId7" w:history="1"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п. 2 ст. 346.51</w:t>
        </w:r>
      </w:hyperlink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НК РФ если срок окончания действия патента приходится на 31 декабря, то уплата налога производится не позднее 28 декабря. </w:t>
      </w:r>
    </w:p>
    <w:p w:rsidR="00E44A35" w:rsidRPr="00E44A35" w:rsidRDefault="00E44A35" w:rsidP="00E44A35">
      <w:pPr>
        <w:spacing w:before="240" w:after="0" w:line="0" w:lineRule="atLeast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       В соответствии с п. 2 ст. 432 НК РФ суммы страховых взносов на обязательное пенсионное страхование и на обязательное медицинское страхование в совокупном фиксированном размере уплачиваются не позднее 28 декабря текущего календарного года.</w:t>
      </w:r>
    </w:p>
    <w:p w:rsidR="00E44A35" w:rsidRPr="00E44A35" w:rsidRDefault="00E44A35" w:rsidP="00E44A35">
      <w:pPr>
        <w:spacing w:before="240" w:after="0" w:line="0" w:lineRule="atLeast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        Исходя из положений </w:t>
      </w:r>
      <w:hyperlink r:id="rId8" w:history="1">
        <w:proofErr w:type="spellStart"/>
        <w:r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п</w:t>
        </w:r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п</w:t>
        </w:r>
        <w:proofErr w:type="spellEnd"/>
        <w:r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.</w:t>
        </w:r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 xml:space="preserve"> 2 п</w:t>
        </w:r>
        <w:r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.</w:t>
        </w:r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 xml:space="preserve"> 1 ст</w:t>
        </w:r>
        <w:r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.</w:t>
        </w:r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 xml:space="preserve"> 419</w:t>
        </w:r>
      </w:hyperlink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и </w:t>
      </w:r>
      <w:hyperlink r:id="rId9" w:history="1"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ст</w:t>
        </w:r>
        <w:r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.</w:t>
        </w:r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 xml:space="preserve"> 430</w:t>
        </w:r>
      </w:hyperlink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Н</w:t>
      </w:r>
      <w:r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>К РФ</w:t>
      </w:r>
      <w:bookmarkStart w:id="0" w:name="_GoBack"/>
      <w:bookmarkEnd w:id="0"/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сумма страховых взносов в совокупном фиксированном размере, подлежащая к уплате индивидуальным предпринимателем, адвокатом, нотариусом, арбитражным управляющим, оценщиком, главой КФХ за расчетный период 2025 года составляет 53 658 рублей.</w:t>
      </w:r>
    </w:p>
    <w:p w:rsidR="00E44A35" w:rsidRPr="00E44A35" w:rsidRDefault="00E44A35" w:rsidP="00E44A35">
      <w:pPr>
        <w:spacing w:before="240" w:after="0" w:line="0" w:lineRule="atLeast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     В соответствии с </w:t>
      </w:r>
      <w:hyperlink r:id="rId10" w:history="1">
        <w:r w:rsidRPr="00E44A35">
          <w:rPr>
            <w:rStyle w:val="a5"/>
            <w:rFonts w:ascii="Montserrat Light" w:eastAsia="Times New Roman" w:hAnsi="Montserrat Light" w:cs="Times New Roman"/>
            <w:kern w:val="36"/>
            <w:sz w:val="28"/>
            <w:szCs w:val="28"/>
            <w:lang w:eastAsia="ru-RU"/>
          </w:rPr>
          <w:t>п. 7 ст. 6.1</w:t>
        </w:r>
      </w:hyperlink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НК РФ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(в 2025 году – 29.12.2025).</w:t>
      </w:r>
    </w:p>
    <w:p w:rsidR="00E44A35" w:rsidRPr="00E44A35" w:rsidRDefault="00E44A35" w:rsidP="00E44A35">
      <w:pPr>
        <w:spacing w:before="240" w:after="0" w:line="0" w:lineRule="atLeast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E44A35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     Пополнить единый налоговый счет можно через сервисы «Личный кабинет налогоплательщика» либо «Уплата налогов и пошлин» на сайте ФНС России. Сервисы помогают избежать ошибок при оплате налогов и сборов.</w:t>
      </w:r>
    </w:p>
    <w:p w:rsidR="003E710D" w:rsidRPr="00E44A35" w:rsidRDefault="003E710D" w:rsidP="00F3509C">
      <w:pPr>
        <w:spacing w:before="240" w:after="0" w:line="0" w:lineRule="atLeast"/>
        <w:jc w:val="both"/>
        <w:rPr>
          <w:rFonts w:ascii="Montserrat Light" w:eastAsia="Calibri" w:hAnsi="Montserrat Light" w:cs="Times New Roman"/>
          <w:sz w:val="28"/>
          <w:szCs w:val="28"/>
        </w:rPr>
      </w:pPr>
    </w:p>
    <w:sectPr w:rsidR="003E710D" w:rsidRPr="00E44A35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97055"/>
    <w:rsid w:val="002A3E7F"/>
    <w:rsid w:val="00300DD1"/>
    <w:rsid w:val="00304F25"/>
    <w:rsid w:val="00314A95"/>
    <w:rsid w:val="00323275"/>
    <w:rsid w:val="003330C8"/>
    <w:rsid w:val="00392C21"/>
    <w:rsid w:val="003B0467"/>
    <w:rsid w:val="003D1B0F"/>
    <w:rsid w:val="003D2998"/>
    <w:rsid w:val="003D6D53"/>
    <w:rsid w:val="003E710D"/>
    <w:rsid w:val="003F2E07"/>
    <w:rsid w:val="00465683"/>
    <w:rsid w:val="00484E00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7A6FE6"/>
    <w:rsid w:val="007C429A"/>
    <w:rsid w:val="007C602A"/>
    <w:rsid w:val="007E6F60"/>
    <w:rsid w:val="00801DC1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20D7B"/>
    <w:rsid w:val="00D46FEB"/>
    <w:rsid w:val="00D54467"/>
    <w:rsid w:val="00D578B0"/>
    <w:rsid w:val="00D8448A"/>
    <w:rsid w:val="00D902E2"/>
    <w:rsid w:val="00D92783"/>
    <w:rsid w:val="00DB0662"/>
    <w:rsid w:val="00DE3547"/>
    <w:rsid w:val="00DF2122"/>
    <w:rsid w:val="00E0171A"/>
    <w:rsid w:val="00E16CC3"/>
    <w:rsid w:val="00E2480C"/>
    <w:rsid w:val="00E33AD0"/>
    <w:rsid w:val="00E44A35"/>
    <w:rsid w:val="00E655EF"/>
    <w:rsid w:val="00E93EDA"/>
    <w:rsid w:val="00EF39E3"/>
    <w:rsid w:val="00EF588E"/>
    <w:rsid w:val="00F240FB"/>
    <w:rsid w:val="00F3509C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32&amp;dst=1400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16&amp;dst=1148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1015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532&amp;dst=26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152A-7F4F-466C-A313-F2A82BE7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3</cp:revision>
  <cp:lastPrinted>2025-09-23T12:16:00Z</cp:lastPrinted>
  <dcterms:created xsi:type="dcterms:W3CDTF">2025-09-23T08:27:00Z</dcterms:created>
  <dcterms:modified xsi:type="dcterms:W3CDTF">2025-09-23T12:19:00Z</dcterms:modified>
</cp:coreProperties>
</file>