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Федеральным законом от 26.07.2026 № 242-ФЗ "О внесении изменений в статьи 85 и 102 части первой и статью 227.1 части второй Налогового кодекса Российской Федерации" у</w:t>
      </w:r>
      <w:r>
        <w:t>становлена обязанность уплаты авансового платежа по НДФЛ иностранными гражданами, осуществляющими трудовую деятельность у физических лиц для личных, домашних и иных подобных нужд, не связанных с осуществлением предпринимательской деятельности. Размеры фиксированных авансовых платежей подлежат индексации на коэффициент-дефлятор, а также на коэффициент, отражающий региональные особенности рынка труда. Закон вводит новое правило, согласно которому при наличии у иностранного гражданина детей в возрасте до 18 лет, а также иных находящихся на иждивении родственников размер авансового платежа должен быть увеличен на 50% за каждого родственника.</w:t>
      </w:r>
    </w:p>
    <w:p w14:paraId="02000000">
      <w:pPr>
        <w:pStyle w:val="Style_1"/>
      </w:pPr>
    </w:p>
    <w:p w14:paraId="0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2026-08-06T17:05:59Z</dcterms:created>
  <dcterms:modified xsi:type="dcterms:W3CDTF">2026-08-06T17:05:59Z</dcterms:modified>
</cp:coreProperties>
</file>