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Одним из приоритетных направлений деятельности прокуратуры города является надзор за исполнением законодательства </w:t>
      </w:r>
      <w:r>
        <w:rPr>
          <w:rFonts w:ascii="Times New Roman" w:hAnsi="Times New Roman"/>
          <w:sz w:val="28"/>
        </w:rPr>
        <w:t>об антитеррористической защищенности</w:t>
      </w:r>
      <w:r>
        <w:rPr>
          <w:rFonts w:ascii="Times New Roman" w:hAnsi="Times New Roman"/>
          <w:sz w:val="28"/>
        </w:rPr>
        <w:t xml:space="preserve">. </w:t>
      </w:r>
    </w:p>
    <w:p w14:paraId="02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за истекший период 2026</w:t>
      </w:r>
      <w:r>
        <w:rPr>
          <w:rFonts w:ascii="Times New Roman" w:hAnsi="Times New Roman"/>
          <w:sz w:val="28"/>
        </w:rPr>
        <w:t xml:space="preserve"> года прокуратурой города проведено более 2</w:t>
      </w:r>
      <w:r>
        <w:rPr>
          <w:rFonts w:ascii="Times New Roman" w:hAnsi="Times New Roman"/>
          <w:sz w:val="28"/>
        </w:rPr>
        <w:t>0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проверок соблюдения указанного законодательства в отношении организаций, осуществляющих деятельность в различных сферах. </w:t>
      </w:r>
    </w:p>
    <w:p w14:paraId="0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проведенных проверок прокуратурой города руководителям организаций внесены представления об устранении нарушений законодательства об антитеррористической защищенности, при рассмотрении которых более 20 виновных лиц привлечены к дисциплинарной ответственности, выявленные нарушения устранены. </w:t>
      </w:r>
    </w:p>
    <w:p w14:paraId="0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alloon Text"/>
    <w:basedOn w:val="Style_1"/>
    <w:link w:val="Style_8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1_ch"/>
    <w:link w:val="Style_8"/>
    <w:rPr>
      <w:rFonts w:ascii="Segoe UI" w:hAnsi="Segoe UI"/>
      <w:sz w:val="18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2026-05-07T11:14:12Z</dcterms:created>
  <dcterms:modified xsi:type="dcterms:W3CDTF">2026-05-07T11:14:12Z</dcterms:modified>
</cp:coreProperties>
</file>