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0" w:left="0"/>
        <w:jc w:val="center"/>
        <w:rPr>
          <w:sz w:val="28"/>
        </w:rPr>
      </w:pPr>
      <w:r>
        <w:rPr>
          <w:b w:val="1"/>
          <w:sz w:val="28"/>
        </w:rPr>
        <w:t>Межрайонная природоохранная прокуратура Московской области добилась освобождения акватории и береговой полосы водного объекта от незаконно сформированных земельных участков</w:t>
      </w:r>
    </w:p>
    <w:p w14:paraId="04000000">
      <w:pPr>
        <w:widowControl w:val="1"/>
        <w:ind w:firstLine="0" w:left="0"/>
        <w:jc w:val="center"/>
        <w:rPr>
          <w:b w:val="1"/>
          <w:sz w:val="28"/>
        </w:rPr>
      </w:pPr>
    </w:p>
    <w:p w14:paraId="05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Межрайонной природоохранной прокуратурой Московской области пресечена попытка незаконного вовлечения в частную собственность части акватории и береговой полосы водного объекта общего пользования.</w:t>
      </w:r>
    </w:p>
    <w:p w14:paraId="0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Проверка показала, что два земельных участка в городском округе Балашиха Московской области, отнесенные к землям общего пользования, сформированы и поставлены на кадастровый учет с нарушением требований водного законодательства. В их границы включены территории, занятые акваторией и береговой полосой р. Камышенка – поверхностного водного объекта, находящегося в федеральной собственности.</w:t>
      </w:r>
    </w:p>
    <w:p w14:paraId="0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 учетом изложенного природоохранным прокурором в Балашихинский городской суд направлено исковое заявление, в 2025 году требования прокурора удовлетворены, из чужого незаконного владения физического лица в собственность Российской Федерации изъяты части земельных участков (203 кв. м), занятые береговой полосой и акваторией водного объекта – р. Камышенка.</w:t>
      </w:r>
    </w:p>
    <w:p w14:paraId="0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2026 году решения суда исполнено, сведения о новых границах и площадях внесены в ЕГРН, право частных лиц на береговую полосу и акваторию водного объекта прекращено, доступ граждан к водному объекту восстановлен.</w:t>
      </w:r>
    </w:p>
    <w:p w14:paraId="09000000">
      <w:pPr>
        <w:widowControl w:val="1"/>
        <w:ind w:firstLine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Balloon Text"/>
    <w:basedOn w:val="Style_2"/>
    <w:link w:val="Style_3_ch"/>
    <w:rPr>
      <w:rFonts w:ascii="Tahoma" w:hAnsi="Tahoma"/>
      <w:sz w:val="16"/>
    </w:rPr>
  </w:style>
  <w:style w:styleId="Style_3_ch" w:type="character">
    <w:name w:val="Balloon Text"/>
    <w:basedOn w:val="Style_2_ch"/>
    <w:link w:val="Style_3"/>
    <w:rPr>
      <w:rFonts w:ascii="Tahoma" w:hAnsi="Tahoma"/>
      <w:sz w:val="16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Знак"/>
    <w:basedOn w:val="Style_2"/>
    <w:link w:val="Style_10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0_ch" w:type="character">
    <w:name w:val="Знак"/>
    <w:basedOn w:val="Style_2_ch"/>
    <w:link w:val="Style_10"/>
    <w:rPr>
      <w:rFonts w:ascii="Tahoma" w:hAnsi="Tahoma"/>
      <w:sz w:val="20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Standard"/>
    <w:link w:val="Style_13_ch"/>
    <w:pPr>
      <w:widowControl w:val="0"/>
      <w:ind/>
    </w:pPr>
    <w:rPr>
      <w:sz w:val="24"/>
    </w:rPr>
  </w:style>
  <w:style w:styleId="Style_13_ch" w:type="character">
    <w:name w:val="Standard"/>
    <w:link w:val="Style_13"/>
    <w:rPr>
      <w:sz w:val="24"/>
    </w:rPr>
  </w:style>
  <w:style w:styleId="Style_14" w:type="paragraph">
    <w:name w:val="Con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Nonformat"/>
    <w:link w:val="Style_14"/>
    <w:rPr>
      <w:rFonts w:ascii="Courier New" w:hAnsi="Courier New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apple-converted-space"/>
    <w:link w:val="Style_21_ch"/>
  </w:style>
  <w:style w:styleId="Style_21_ch" w:type="character">
    <w:name w:val="apple-converted-space"/>
    <w:link w:val="Style_21"/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foot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2_ch"/>
    <w:link w:val="Style_25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Знак Знак2 Знак Знак Знак Знак Знак Знак Знак Знак Знак Знак"/>
    <w:basedOn w:val="Style_2"/>
    <w:link w:val="Style_29_ch"/>
    <w:pPr>
      <w:widowControl w:val="1"/>
      <w:spacing w:after="160" w:line="240" w:lineRule="exact"/>
      <w:ind/>
    </w:pPr>
    <w:rPr>
      <w:rFonts w:ascii="Verdana" w:hAnsi="Verdana"/>
    </w:rPr>
  </w:style>
  <w:style w:styleId="Style_29_ch" w:type="character">
    <w:name w:val="Знак Знак2 Знак Знак Знак Знак Знак Знак Знак Знак Знак Знак"/>
    <w:basedOn w:val="Style_2_ch"/>
    <w:link w:val="Style_29"/>
    <w:rPr>
      <w:rFonts w:ascii="Verdana" w:hAnsi="Verdana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2026-06-22T09:29:14Z</dcterms:created>
  <dcterms:modified xsi:type="dcterms:W3CDTF">2026-06-22T09:29:14Z</dcterms:modified>
</cp:coreProperties>
</file>