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ПЭ-ЭС/26-2227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Мира, дом 30, помещение 2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00200190102615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08.05.2026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14.07.2026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16.07.2026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16.07.2026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ПЭ-ЭС/26-2227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Мира, дом 30, помещение 2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8CF5AE8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08.05.2026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14.07.2026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14.07.2026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16.07.2026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16.07.2026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16.07.2026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