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ind w:firstLine="720" w:left="0"/>
        <w:jc w:val="both"/>
        <w:rPr>
          <w:rFonts w:ascii="Times New Roman" w:hAnsi="Times New Roman"/>
          <w:color w:val="000000"/>
          <w:sz w:val="28"/>
        </w:rPr>
      </w:pPr>
      <w:r>
        <w:rPr>
          <w:rStyle w:val="Style_1_ch"/>
          <w:rFonts w:ascii="Times New Roman" w:hAnsi="Times New Roman"/>
          <w:color w:val="000000"/>
          <w:sz w:val="28"/>
        </w:rPr>
        <w:t xml:space="preserve"> Помощником прокурора г. Электростали Самохиной А.А.</w:t>
      </w:r>
      <w:r>
        <w:rPr>
          <w:rStyle w:val="Style_1_ch"/>
          <w:rFonts w:ascii="Times New Roman" w:hAnsi="Times New Roman"/>
          <w:color w:val="000000"/>
          <w:sz w:val="28"/>
        </w:rPr>
        <w:t xml:space="preserve"> 15.09.2026 проведена лекция для участников проекта Губернатора Московской области «Активное долголетие» на тему: «Как не стать жертвой мошенников и соучастником </w:t>
      </w:r>
      <w:r>
        <w:rPr>
          <w:rStyle w:val="Style_1_ch"/>
          <w:rFonts w:ascii="Times New Roman" w:hAnsi="Times New Roman"/>
          <w:color w:val="000000"/>
          <w:sz w:val="28"/>
        </w:rPr>
        <w:t>в</w:t>
      </w:r>
      <w:r>
        <w:rPr>
          <w:rFonts w:ascii="Times New Roman" w:hAnsi="Times New Roman"/>
          <w:color w:val="000000"/>
          <w:spacing w:val="0"/>
          <w:sz w:val="28"/>
        </w:rPr>
        <w:t> </w:t>
      </w:r>
      <w:r>
        <w:rPr>
          <w:rStyle w:val="Style_1_ch"/>
          <w:rFonts w:ascii="Times New Roman" w:hAnsi="Times New Roman"/>
          <w:color w:val="000000"/>
          <w:sz w:val="28"/>
        </w:rPr>
        <w:t>н</w:t>
      </w:r>
      <w:r>
        <w:rPr>
          <w:rStyle w:val="Style_1_ch"/>
          <w:rFonts w:ascii="Times New Roman" w:hAnsi="Times New Roman"/>
          <w:color w:val="000000"/>
          <w:sz w:val="28"/>
        </w:rPr>
        <w:t>еправомерном обороте средств платежей и мошенничестве в сфере ИТТ</w:t>
      </w:r>
      <w:r>
        <w:rPr>
          <w:rStyle w:val="Style_1_ch"/>
          <w:rFonts w:ascii="Times New Roman" w:hAnsi="Times New Roman"/>
          <w:color w:val="000000"/>
          <w:sz w:val="28"/>
        </w:rPr>
        <w:t>».</w:t>
      </w:r>
    </w:p>
    <w:p w14:paraId="02000000">
      <w:pPr>
        <w:widowControl w:val="1"/>
        <w:ind w:firstLine="720" w:lef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В ходе лекции слушатели узнали о том, что с</w:t>
      </w:r>
      <w:r>
        <w:rPr>
          <w:rFonts w:ascii="Times New Roman" w:hAnsi="Times New Roman"/>
          <w:color w:val="000000"/>
          <w:sz w:val="28"/>
        </w:rPr>
        <w:t> 5 июля 2025 года вступили в силу изменения в статью 187 Уголовного кодекса Российской Федерации «Неправомерный оборот средств платежей», которыми устанавливаются меры ответственности для лиц, содействующих мошенникам в выводе похищенных денежных средств.</w:t>
      </w:r>
    </w:p>
    <w:p w14:paraId="03000000">
      <w:pPr>
        <w:widowControl w:val="0"/>
        <w:spacing w:after="0" w:line="240" w:lineRule="auto"/>
        <w:ind w:firstLine="709" w:lef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В соответствии со вступившими в силу изменениями в Уголовный кодекс Российской Федерации, </w:t>
      </w:r>
      <w:r>
        <w:rPr>
          <w:rFonts w:ascii="Times New Roman" w:hAnsi="Times New Roman"/>
          <w:color w:val="000000"/>
          <w:sz w:val="28"/>
        </w:rPr>
        <w:t>до трех лет лишения свободы будет грозить клиенту банка, передавшему из корыстных побуждений свою карту или</w:t>
      </w:r>
      <w:r>
        <w:rPr>
          <w:rFonts w:ascii="Times New Roman" w:hAnsi="Times New Roman"/>
          <w:color w:val="000000"/>
          <w:spacing w:val="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>доступ к счету другому лицу или</w:t>
      </w:r>
      <w:r>
        <w:rPr>
          <w:rFonts w:ascii="Times New Roman" w:hAnsi="Times New Roman"/>
          <w:color w:val="000000"/>
          <w:spacing w:val="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 xml:space="preserve">совершившему неправомерные операции по его указанию, </w:t>
      </w:r>
      <w:r>
        <w:rPr>
          <w:rFonts w:ascii="Times New Roman" w:hAnsi="Times New Roman"/>
          <w:color w:val="000000"/>
          <w:sz w:val="28"/>
        </w:rPr>
        <w:t>вплоть до шести лет лишения свободы со штрафом - за приобретение из корыстных побуждений чужой карты или</w:t>
      </w:r>
      <w:r>
        <w:rPr>
          <w:rFonts w:ascii="Times New Roman" w:hAnsi="Times New Roman"/>
          <w:color w:val="000000"/>
          <w:spacing w:val="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>доступа к счету другого лица, их дальнейшую передачу, осуществление неправомерных операций с ними. </w:t>
      </w:r>
    </w:p>
    <w:p w14:paraId="04000000">
      <w:pPr>
        <w:widowControl w:val="0"/>
        <w:spacing w:after="0" w:line="240" w:lineRule="auto"/>
        <w:ind w:firstLine="709" w:lef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Также слушатели узнали о том, кого называют «дропперами» и как простые граждане становятся соучастниками в мошеннической схеме.</w:t>
      </w:r>
    </w:p>
    <w:p w14:paraId="05000000">
      <w:pPr>
        <w:widowControl w:val="1"/>
        <w:ind w:firstLine="720" w:lef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В конце встречи внимание слушателей также обратили на то,</w:t>
      </w:r>
      <w:r>
        <w:rPr>
          <w:rFonts w:ascii="Times New Roman" w:hAnsi="Times New Roman"/>
          <w:color w:val="000000"/>
          <w:sz w:val="28"/>
        </w:rPr>
        <w:t xml:space="preserve"> что теперь мошенники представляются работниками </w:t>
      </w:r>
      <w:r>
        <w:rPr>
          <w:rFonts w:ascii="Times New Roman" w:hAnsi="Times New Roman"/>
          <w:color w:val="000000"/>
          <w:sz w:val="28"/>
        </w:rPr>
        <w:t>не только</w:t>
      </w:r>
      <w:r>
        <w:rPr>
          <w:rFonts w:ascii="Times New Roman" w:hAnsi="Times New Roman"/>
          <w:color w:val="000000"/>
          <w:sz w:val="28"/>
        </w:rPr>
        <w:t xml:space="preserve"> Центрального банка России, портала «Госуслуг», органов внутренних дел и мобильными операторами, но и государственными служащими налоговой службы и Социального фонда России.</w:t>
      </w:r>
    </w:p>
    <w:p w14:paraId="06000000">
      <w:pPr>
        <w:pStyle w:val="Style_1"/>
      </w:pPr>
      <w:r>
        <w:rPr>
          <w:rFonts w:ascii="Times New Roman" w:hAnsi="Times New Roman"/>
          <w:color w:val="000000"/>
          <w:sz w:val="28"/>
        </w:rPr>
        <w:t>Для наглядности представителем прокуратуры города Электростали   продемонстрированы примеры реальных звонков мошенников.</w:t>
      </w:r>
    </w:p>
    <w:sectPr>
      <w:pgSz w:h="16838" w:orient="portrait" w:w="11906"/>
      <w:pgMar w:bottom="1134" w:left="1304" w:right="737" w:top="1134"/>
      <w:pgNumType w:fmt="decimal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XO Thames" w:hAnsi="XO Thames"/>
        <w:color w:val="000000"/>
        <w:spacing w:val="0"/>
        <w:sz w:val="24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default="1" w:styleId="Style_1_ch" w:type="character">
    <w:name w:val="Normal"/>
    <w:link w:val="Style_1"/>
    <w:rPr>
      <w:rFonts w:ascii="XO Thames" w:hAnsi="XO Thames"/>
      <w:sz w:val="28"/>
    </w:rPr>
  </w:style>
  <w:style w:styleId="Style_2" w:type="paragraph">
    <w:name w:val="toc 2"/>
    <w:next w:val="Style_1"/>
    <w:link w:val="Style_2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Endnote"/>
    <w:link w:val="Style_6_ch"/>
    <w:pPr>
      <w:ind w:firstLine="851" w:left="0"/>
      <w:jc w:val="both"/>
    </w:pPr>
    <w:rPr>
      <w:rFonts w:ascii="XO Thames" w:hAnsi="XO Thames"/>
      <w:sz w:val="22"/>
    </w:rPr>
  </w:style>
  <w:style w:styleId="Style_6_ch" w:type="character">
    <w:name w:val="Endnote"/>
    <w:link w:val="Style_6"/>
    <w:rPr>
      <w:rFonts w:ascii="XO Thames" w:hAnsi="XO Thames"/>
      <w:sz w:val="22"/>
    </w:rPr>
  </w:style>
  <w:style w:styleId="Style_7" w:type="paragraph">
    <w:name w:val="heading 3"/>
    <w:next w:val="Style_1"/>
    <w:link w:val="Style_7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7_ch" w:type="character">
    <w:name w:val="heading 3"/>
    <w:link w:val="Style_7"/>
    <w:rPr>
      <w:rFonts w:ascii="XO Thames" w:hAnsi="XO Thames"/>
      <w:b w:val="1"/>
      <w:sz w:val="26"/>
    </w:rPr>
  </w:style>
  <w:style w:styleId="Style_8" w:type="paragraph">
    <w:name w:val="toc 3"/>
    <w:next w:val="Style_1"/>
    <w:link w:val="Style_8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8_ch" w:type="character">
    <w:name w:val="toc 3"/>
    <w:link w:val="Style_8"/>
    <w:rPr>
      <w:rFonts w:ascii="XO Thames" w:hAnsi="XO Thames"/>
      <w:sz w:val="28"/>
    </w:rPr>
  </w:style>
  <w:style w:styleId="Style_9" w:type="paragraph">
    <w:name w:val="heading 5"/>
    <w:next w:val="Style_1"/>
    <w:link w:val="Style_9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9_ch" w:type="character">
    <w:name w:val="heading 5"/>
    <w:link w:val="Style_9"/>
    <w:rPr>
      <w:rFonts w:ascii="XO Thames" w:hAnsi="XO Thames"/>
      <w:b w:val="1"/>
      <w:sz w:val="22"/>
    </w:rPr>
  </w:style>
  <w:style w:styleId="Style_10" w:type="paragraph">
    <w:name w:val="heading 1"/>
    <w:next w:val="Style_1"/>
    <w:link w:val="Style_10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0_ch" w:type="character">
    <w:name w:val="heading 1"/>
    <w:link w:val="Style_10"/>
    <w:rPr>
      <w:rFonts w:ascii="XO Thames" w:hAnsi="XO Thames"/>
      <w:b w:val="1"/>
      <w:sz w:val="32"/>
    </w:rPr>
  </w:style>
  <w:style w:styleId="Style_11" w:type="paragraph">
    <w:name w:val="Hyperlink"/>
    <w:link w:val="Style_11_ch"/>
    <w:rPr>
      <w:color w:val="0000FF"/>
      <w:u w:val="single"/>
    </w:rPr>
  </w:style>
  <w:style w:styleId="Style_11_ch" w:type="character">
    <w:name w:val="Hyperlink"/>
    <w:link w:val="Style_11"/>
    <w:rPr>
      <w:color w:val="0000FF"/>
      <w:u w:val="single"/>
    </w:rPr>
  </w:style>
  <w:style w:styleId="Style_12" w:type="paragraph">
    <w:name w:val="Footnote"/>
    <w:link w:val="Style_12_ch"/>
    <w:pPr>
      <w:ind w:firstLine="851" w:left="0"/>
      <w:jc w:val="both"/>
    </w:pPr>
    <w:rPr>
      <w:rFonts w:ascii="XO Thames" w:hAnsi="XO Thames"/>
      <w:sz w:val="22"/>
    </w:rPr>
  </w:style>
  <w:style w:styleId="Style_12_ch" w:type="character">
    <w:name w:val="Footnote"/>
    <w:link w:val="Style_12"/>
    <w:rPr>
      <w:rFonts w:ascii="XO Thames" w:hAnsi="XO Thames"/>
      <w:sz w:val="22"/>
    </w:rPr>
  </w:style>
  <w:style w:styleId="Style_13" w:type="paragraph">
    <w:name w:val="toc 1"/>
    <w:next w:val="Style_1"/>
    <w:link w:val="Style_13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3_ch" w:type="character">
    <w:name w:val="toc 1"/>
    <w:link w:val="Style_13"/>
    <w:rPr>
      <w:rFonts w:ascii="XO Thames" w:hAnsi="XO Thames"/>
      <w:b w:val="1"/>
      <w:sz w:val="28"/>
    </w:rPr>
  </w:style>
  <w:style w:styleId="Style_14" w:type="paragraph">
    <w:name w:val="Header and Footer"/>
    <w:link w:val="Style_14_ch"/>
    <w:pPr>
      <w:spacing w:line="240" w:lineRule="auto"/>
      <w:ind/>
      <w:jc w:val="both"/>
    </w:pPr>
    <w:rPr>
      <w:rFonts w:ascii="XO Thames" w:hAnsi="XO Thames"/>
      <w:sz w:val="28"/>
    </w:rPr>
  </w:style>
  <w:style w:styleId="Style_14_ch" w:type="character">
    <w:name w:val="Header and Footer"/>
    <w:link w:val="Style_14"/>
    <w:rPr>
      <w:rFonts w:ascii="XO Thames" w:hAnsi="XO Thames"/>
      <w:sz w:val="28"/>
    </w:rPr>
  </w:style>
  <w:style w:styleId="Style_15" w:type="paragraph">
    <w:name w:val="toc 9"/>
    <w:next w:val="Style_1"/>
    <w:link w:val="Style_15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5_ch" w:type="character">
    <w:name w:val="toc 9"/>
    <w:link w:val="Style_15"/>
    <w:rPr>
      <w:rFonts w:ascii="XO Thames" w:hAnsi="XO Thames"/>
      <w:sz w:val="28"/>
    </w:rPr>
  </w:style>
  <w:style w:styleId="Style_16" w:type="paragraph">
    <w:name w:val="toc 8"/>
    <w:next w:val="Style_1"/>
    <w:link w:val="Style_16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6_ch" w:type="character">
    <w:name w:val="toc 8"/>
    <w:link w:val="Style_16"/>
    <w:rPr>
      <w:rFonts w:ascii="XO Thames" w:hAnsi="XO Thames"/>
      <w:sz w:val="28"/>
    </w:rPr>
  </w:style>
  <w:style w:styleId="Style_17" w:type="paragraph">
    <w:name w:val="toc 5"/>
    <w:next w:val="Style_1"/>
    <w:link w:val="Style_17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17_ch" w:type="character">
    <w:name w:val="toc 5"/>
    <w:link w:val="Style_17"/>
    <w:rPr>
      <w:rFonts w:ascii="XO Thames" w:hAnsi="XO Thames"/>
      <w:sz w:val="28"/>
    </w:rPr>
  </w:style>
  <w:style w:styleId="Style_18" w:type="paragraph">
    <w:name w:val="Subtitle"/>
    <w:next w:val="Style_1"/>
    <w:link w:val="Style_18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18_ch" w:type="character">
    <w:name w:val="Subtitle"/>
    <w:link w:val="Style_18"/>
    <w:rPr>
      <w:rFonts w:ascii="XO Thames" w:hAnsi="XO Thames"/>
      <w:i w:val="1"/>
      <w:sz w:val="24"/>
    </w:rPr>
  </w:style>
  <w:style w:styleId="Style_19" w:type="paragraph">
    <w:name w:val="Title"/>
    <w:next w:val="Style_1"/>
    <w:link w:val="Style_19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19_ch" w:type="character">
    <w:name w:val="Title"/>
    <w:link w:val="Style_19"/>
    <w:rPr>
      <w:rFonts w:ascii="XO Thames" w:hAnsi="XO Thames"/>
      <w:b w:val="1"/>
      <w:caps w:val="1"/>
      <w:sz w:val="40"/>
    </w:rPr>
  </w:style>
  <w:style w:styleId="Style_20" w:type="paragraph">
    <w:name w:val="heading 4"/>
    <w:next w:val="Style_1"/>
    <w:link w:val="Style_20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0_ch" w:type="character">
    <w:name w:val="heading 4"/>
    <w:link w:val="Style_20"/>
    <w:rPr>
      <w:rFonts w:ascii="XO Thames" w:hAnsi="XO Thames"/>
      <w:b w:val="1"/>
      <w:sz w:val="24"/>
    </w:rPr>
  </w:style>
  <w:style w:styleId="Style_21" w:type="paragraph">
    <w:name w:val="heading 2"/>
    <w:next w:val="Style_1"/>
    <w:link w:val="Style_21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1_ch" w:type="character">
    <w:name w:val="heading 2"/>
    <w:link w:val="Style_21"/>
    <w:rPr>
      <w:rFonts w:ascii="XO Thames" w:hAnsi="XO Thames"/>
      <w:b w:val="1"/>
      <w:sz w:val="28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6350">
          <a:solidFill>
            <a:schemeClr val="phClr">
              <a:shade val="95000"/>
              <a:satMod val="105000"/>
            </a:schemeClr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2026-09-15T16:03:29Z</dcterms:created>
  <dcterms:modified xsi:type="dcterms:W3CDTF">2026-09-15T16:03:29Z</dcterms:modified>
</cp:coreProperties>
</file>