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1E" w:rsidRPr="00802B81" w:rsidRDefault="0091121E" w:rsidP="0091121E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>Внесено уточнение в Правила разработки мероприятий по повышению значений показателей доступности для инвалидов объектов и услуг</w:t>
      </w:r>
    </w:p>
    <w:p w:rsidR="0091121E" w:rsidRPr="008A6B13" w:rsidRDefault="0091121E" w:rsidP="0091121E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Новая редакция подпункта "а" пункта 9 Правил предусматривает определение показателей доступности для инвалидов объектов и услуг исходя из национальных стандартов РФ и (или) сводов правил, предусматривающих требования, указанные в части 2 статьи 6 Федерального закона "Технический регламент о безопасности зданий и сооружений".</w:t>
      </w:r>
    </w:p>
    <w:p w:rsidR="0091121E" w:rsidRPr="008A6B13" w:rsidRDefault="0091121E" w:rsidP="0091121E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Постановление вступает в силу с 1 сентября 2024 г.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F"/>
    <w:rsid w:val="0001522F"/>
    <w:rsid w:val="00166365"/>
    <w:rsid w:val="009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C49F4-CF06-4084-9966-405098B4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2024-06-26T12:40:00Z</dcterms:created>
  <dcterms:modified xsi:type="dcterms:W3CDTF">2024-06-26T12:40:00Z</dcterms:modified>
</cp:coreProperties>
</file>