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18" w:rsidRPr="00C77918" w:rsidRDefault="00C77918" w:rsidP="00C77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918">
        <w:rPr>
          <w:rFonts w:ascii="Times New Roman" w:hAnsi="Times New Roman" w:cs="Times New Roman"/>
          <w:sz w:val="24"/>
          <w:szCs w:val="24"/>
        </w:rPr>
        <w:t>Прокуратура города в соответствии со ст. 45 Гражданского кодекса РФ принимает участие в рассмотрении гражданских дел о признании граждан умершими и безвестно отсутствующими. Прокурором, дается заключение об удовлетворении требований заявителя только в случае соблюдения ст. 42 ГК РФ.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31"/>
    <w:rsid w:val="00003731"/>
    <w:rsid w:val="00166365"/>
    <w:rsid w:val="00C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9203-B646-48F0-8EA7-D0B234EC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