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5319A8">
      <w:r>
        <w:rPr>
          <w:rFonts w:ascii="Times New Roman" w:hAnsi="Times New Roman" w:cs="Times New Roman"/>
          <w:sz w:val="28"/>
          <w:szCs w:val="28"/>
        </w:rPr>
        <w:t>О</w:t>
      </w:r>
      <w:r w:rsidRPr="008A6B13">
        <w:rPr>
          <w:rFonts w:ascii="Times New Roman" w:hAnsi="Times New Roman" w:cs="Times New Roman"/>
          <w:sz w:val="28"/>
          <w:szCs w:val="28"/>
        </w:rPr>
        <w:t>тветственность за мелкое хулиганство установлена в ст. 20.1 КоАП РФ. Сейчас санкции предусмотрены за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Такие действия грозят нарушителю штрафом в размере от 500 руб. до 1 тыс. руб. или административным арестом на срок до 15 суток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A6"/>
    <w:rsid w:val="00166365"/>
    <w:rsid w:val="005319A8"/>
    <w:rsid w:val="00A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D486F-B5D0-409A-98ED-FE66F853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2024-06-26T12:41:00Z</dcterms:created>
  <dcterms:modified xsi:type="dcterms:W3CDTF">2024-06-26T12:41:00Z</dcterms:modified>
</cp:coreProperties>
</file>