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FF60" w14:textId="0CB83E9B" w:rsidR="00686881" w:rsidRPr="00686881" w:rsidRDefault="006B6BBB" w:rsidP="00686881">
      <w:pPr>
        <w:shd w:val="clear" w:color="auto" w:fill="FFFFFF"/>
        <w:spacing w:after="240" w:line="300" w:lineRule="atLeast"/>
        <w:jc w:val="center"/>
        <w:rPr>
          <w:rFonts w:ascii="Times New Roman" w:eastAsia="Times New Roman" w:hAnsi="Times New Roman" w:cs="Times New Roman"/>
          <w:color w:val="000000"/>
          <w:sz w:val="24"/>
          <w:szCs w:val="24"/>
          <w:lang w:eastAsia="ru-RU"/>
        </w:rPr>
      </w:pPr>
      <w:r w:rsidRPr="006B6BBB">
        <w:rPr>
          <w:rFonts w:ascii="Times New Roman" w:eastAsia="Times New Roman" w:hAnsi="Times New Roman" w:cs="Times New Roman"/>
          <w:b/>
          <w:bCs/>
          <w:color w:val="000000"/>
          <w:sz w:val="24"/>
          <w:szCs w:val="24"/>
          <w:lang w:eastAsia="ru-RU"/>
        </w:rPr>
        <w:t>Продлены особенности установления степени утраты профессиональной трудоспособности в результате несчастных случаев на производстве и профессиональных заболеваний гражданами, проживающими или проживавшими на территориях новых регионов</w:t>
      </w:r>
    </w:p>
    <w:p w14:paraId="2AAADC3B" w14:textId="1D8A765D"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Постановлением Правительства РФ от 16.04.2026 N 423 "Об особенностях установления степени утраты профессиональной трудоспособности в результате несчастных случаев на производстве и профессиональных заболеваний гражданами Российской Федерации, проживающими или проживавшими на территориях Донецкой Народной Республики, Луганской Народной Республики, Запорожской области и Херсонской области, иностранными гражданами и лицами без гражданства, проживающими или ранее проживавшими на указанных территориях и выехавшими за пределы указанных территорий в другие субъекты Российской Федерации, а также особенностях установления степени утраты профессиональной трудоспособности в результате несчастных случаев на производстве и профессиональных заболеваний гражданами Российской Федерации, проживающими или проживавшими на территориях Донецкой Народной Республики, Луганской Народной Республики, Запорожской области и Херсонской области, иностранными гражданами и лицами без гражданства, проживающими или ранее проживавшими на указанных территориях, в федеральных учреждениях медико-социальной экспертизы на территориях Донецкой Народной Республики, Луганской Народной Республики, Запорожской области и Херсонской области в период с 1 января 2026 г. до 1 января 2028 г.</w:t>
      </w:r>
      <w:r>
        <w:rPr>
          <w:rFonts w:ascii="Times New Roman" w:eastAsia="Times New Roman" w:hAnsi="Times New Roman" w:cs="Times New Roman"/>
          <w:color w:val="000000"/>
          <w:sz w:val="24"/>
          <w:szCs w:val="24"/>
          <w:lang w:eastAsia="ru-RU"/>
        </w:rPr>
        <w:t>» у</w:t>
      </w:r>
      <w:r w:rsidRPr="00686881">
        <w:rPr>
          <w:rFonts w:ascii="Times New Roman" w:eastAsia="Times New Roman" w:hAnsi="Times New Roman" w:cs="Times New Roman"/>
          <w:color w:val="000000"/>
          <w:sz w:val="24"/>
          <w:szCs w:val="24"/>
          <w:lang w:eastAsia="ru-RU"/>
        </w:rPr>
        <w:t>тверждены:</w:t>
      </w:r>
    </w:p>
    <w:p w14:paraId="77CF86DE"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особенности установления степени утраты профессиональной трудоспособности в результате несчастных случаев на производстве и профессиональных заболеваний гражданами РФ, проживающими или проживавшими на территориях ДНР, ЛНР, Запорожской и Херсонской областей, иностранными гражданами и лицами без гражданства, проживающими или ранее проживавшими на указанных территориях и выехавшими за пределы указанных территорий в другие субъекты РФ;</w:t>
      </w:r>
    </w:p>
    <w:p w14:paraId="6F75DEC4"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особенности установления степени утраты профессиональной трудоспособности в результате несчастных случаев на производстве и профессиональных заболеваний гражданами РФ, проживающими или проживавшими на территориях ДНР, ЛНР, Запорожской и Херсонской областей, иностранными гражданами и лицами без гражданства, проживающими или ранее проживавшими на указанных территориях, в федеральных учреждениях медико-социальной экспертизы на территориях ДНР, ЛНР, Запорожской и Херсонской областей в период с 1 января 2026 г. до 1 января 2028 г.</w:t>
      </w:r>
    </w:p>
    <w:p w14:paraId="6EAD3149" w14:textId="63EB7CC3"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Настоящее постановление вступает в силу со дня его официального опубликования, распространяется на правоотношения, возникшие с 1 января 2026 г., и действует до 1 января 2028 г.</w:t>
      </w:r>
    </w:p>
    <w:p w14:paraId="7DFEAD41" w14:textId="77777777" w:rsid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4DC68C07" w14:textId="46191A73" w:rsidR="00686881" w:rsidRPr="00285B94" w:rsidRDefault="00686881" w:rsidP="00285B94">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285B94">
        <w:rPr>
          <w:rFonts w:ascii="Times New Roman" w:eastAsia="Times New Roman" w:hAnsi="Times New Roman" w:cs="Times New Roman"/>
          <w:b/>
          <w:bCs/>
          <w:color w:val="000000"/>
          <w:sz w:val="24"/>
          <w:szCs w:val="24"/>
          <w:lang w:eastAsia="ru-RU"/>
        </w:rPr>
        <w:t>С 1 сентября 2026 года</w:t>
      </w:r>
      <w:r w:rsidRPr="00285B94">
        <w:rPr>
          <w:rFonts w:ascii="Times New Roman" w:eastAsia="Times New Roman" w:hAnsi="Times New Roman" w:cs="Times New Roman"/>
          <w:b/>
          <w:bCs/>
          <w:color w:val="000000"/>
          <w:sz w:val="24"/>
          <w:szCs w:val="24"/>
          <w:lang w:eastAsia="ru-RU"/>
        </w:rPr>
        <w:t xml:space="preserve"> п</w:t>
      </w:r>
      <w:r w:rsidRPr="00285B94">
        <w:rPr>
          <w:rFonts w:ascii="Times New Roman" w:eastAsia="Times New Roman" w:hAnsi="Times New Roman" w:cs="Times New Roman"/>
          <w:b/>
          <w:bCs/>
          <w:color w:val="000000"/>
          <w:sz w:val="24"/>
          <w:szCs w:val="24"/>
          <w:lang w:eastAsia="ru-RU"/>
        </w:rPr>
        <w:t>остановлени</w:t>
      </w:r>
      <w:r w:rsidRPr="00285B94">
        <w:rPr>
          <w:rFonts w:ascii="Times New Roman" w:eastAsia="Times New Roman" w:hAnsi="Times New Roman" w:cs="Times New Roman"/>
          <w:b/>
          <w:bCs/>
          <w:color w:val="000000"/>
          <w:sz w:val="24"/>
          <w:szCs w:val="24"/>
          <w:lang w:eastAsia="ru-RU"/>
        </w:rPr>
        <w:t>ем</w:t>
      </w:r>
      <w:r w:rsidRPr="00285B94">
        <w:rPr>
          <w:rFonts w:ascii="Times New Roman" w:eastAsia="Times New Roman" w:hAnsi="Times New Roman" w:cs="Times New Roman"/>
          <w:b/>
          <w:bCs/>
          <w:color w:val="000000"/>
          <w:sz w:val="24"/>
          <w:szCs w:val="24"/>
          <w:lang w:eastAsia="ru-RU"/>
        </w:rPr>
        <w:t xml:space="preserve"> Правительства РФ от 13.04.2026 N 402 "Об утверждении отраслевых особенностей категорирования объектов критической информационной инфраструктуры Российской Федерации в сфере связи" устанавливаются отраслевые особенности категорирования объектов КИИ в сфере связи</w:t>
      </w:r>
    </w:p>
    <w:p w14:paraId="54F6BD36"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lastRenderedPageBreak/>
        <w:t>Настоящий документ определяет порядок установления соответствия такого объекта КИИ критериям значимости и показателям их значений в целях присвоения ему одной из категорий значимости и включает в себя отраслевой признак значимости объектов КИИ, соответствующий критериям значимости и показателям их значений, а также порядок расчета значений показателей критериев значимости с учетом особенностей функционирования объекта КИИ.</w:t>
      </w:r>
    </w:p>
    <w:p w14:paraId="18C5A433"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Реализован Федеральный закон от 07.04.2025 N 58-ФЗ "О внесении изменений в Федеральный закон "О безопасности критической информационной инфраструктуры Российской Федерации".</w:t>
      </w:r>
    </w:p>
    <w:p w14:paraId="40445FE3" w14:textId="77777777" w:rsidR="00686881" w:rsidRPr="00686881" w:rsidRDefault="00686881" w:rsidP="00686881">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p>
    <w:p w14:paraId="78E69B5F" w14:textId="07757634" w:rsidR="00686881" w:rsidRPr="00686881" w:rsidRDefault="00686881" w:rsidP="00686881">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686881">
        <w:rPr>
          <w:rFonts w:ascii="Times New Roman" w:eastAsia="Times New Roman" w:hAnsi="Times New Roman" w:cs="Times New Roman"/>
          <w:b/>
          <w:bCs/>
          <w:color w:val="000000"/>
          <w:sz w:val="24"/>
          <w:szCs w:val="24"/>
          <w:lang w:eastAsia="ru-RU"/>
        </w:rPr>
        <w:t xml:space="preserve">Обновлен стандарт медицинской помощи взрослым при </w:t>
      </w:r>
      <w:proofErr w:type="spellStart"/>
      <w:r w:rsidRPr="00686881">
        <w:rPr>
          <w:rFonts w:ascii="Times New Roman" w:eastAsia="Times New Roman" w:hAnsi="Times New Roman" w:cs="Times New Roman"/>
          <w:b/>
          <w:bCs/>
          <w:color w:val="000000"/>
          <w:sz w:val="24"/>
          <w:szCs w:val="24"/>
          <w:lang w:eastAsia="ru-RU"/>
        </w:rPr>
        <w:t>фолиеводефицитной</w:t>
      </w:r>
      <w:proofErr w:type="spellEnd"/>
      <w:r w:rsidRPr="00686881">
        <w:rPr>
          <w:rFonts w:ascii="Times New Roman" w:eastAsia="Times New Roman" w:hAnsi="Times New Roman" w:cs="Times New Roman"/>
          <w:b/>
          <w:bCs/>
          <w:color w:val="000000"/>
          <w:sz w:val="24"/>
          <w:szCs w:val="24"/>
          <w:lang w:eastAsia="ru-RU"/>
        </w:rPr>
        <w:t xml:space="preserve"> анемии (диагностика, лечение и диспансерное наблюдение)</w:t>
      </w:r>
    </w:p>
    <w:p w14:paraId="7B31B4AE" w14:textId="3357EC75" w:rsidR="00285B94" w:rsidRPr="00686881" w:rsidRDefault="00686881" w:rsidP="00285B94">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Стандартом</w:t>
      </w:r>
      <w:r w:rsidR="00285B94">
        <w:rPr>
          <w:rFonts w:ascii="Times New Roman" w:eastAsia="Times New Roman" w:hAnsi="Times New Roman" w:cs="Times New Roman"/>
          <w:color w:val="000000"/>
          <w:sz w:val="24"/>
          <w:szCs w:val="24"/>
          <w:lang w:eastAsia="ru-RU"/>
        </w:rPr>
        <w:t xml:space="preserve"> приказа </w:t>
      </w:r>
      <w:r w:rsidR="00285B94" w:rsidRPr="00686881">
        <w:rPr>
          <w:rFonts w:ascii="Times New Roman" w:eastAsia="Times New Roman" w:hAnsi="Times New Roman" w:cs="Times New Roman"/>
          <w:color w:val="000000"/>
          <w:sz w:val="24"/>
          <w:szCs w:val="24"/>
          <w:lang w:eastAsia="ru-RU"/>
        </w:rPr>
        <w:t xml:space="preserve">Минздрава России от 10.03.2026 N 173н "Об утверждении стандарта медицинской помощи взрослым при </w:t>
      </w:r>
      <w:proofErr w:type="spellStart"/>
      <w:r w:rsidR="00285B94" w:rsidRPr="00686881">
        <w:rPr>
          <w:rFonts w:ascii="Times New Roman" w:eastAsia="Times New Roman" w:hAnsi="Times New Roman" w:cs="Times New Roman"/>
          <w:color w:val="000000"/>
          <w:sz w:val="24"/>
          <w:szCs w:val="24"/>
          <w:lang w:eastAsia="ru-RU"/>
        </w:rPr>
        <w:t>фолиеводефицитной</w:t>
      </w:r>
      <w:proofErr w:type="spellEnd"/>
      <w:r w:rsidR="00285B94" w:rsidRPr="00686881">
        <w:rPr>
          <w:rFonts w:ascii="Times New Roman" w:eastAsia="Times New Roman" w:hAnsi="Times New Roman" w:cs="Times New Roman"/>
          <w:color w:val="000000"/>
          <w:sz w:val="24"/>
          <w:szCs w:val="24"/>
          <w:lang w:eastAsia="ru-RU"/>
        </w:rPr>
        <w:t xml:space="preserve"> анемии (диагностика, лечение и диспансерное наблюдение)" Зарегистрировано в Минюсте России 14.04.2026 N 86035.</w:t>
      </w:r>
    </w:p>
    <w:p w14:paraId="41E394A1" w14:textId="3CED8281"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xml:space="preserve"> определены: медицинские услуги для диагностики заболевания, состояния; медицинские услуги для лечения заболевания, состояния и контроля за лечением; перечень лекарственных препаратов для медицинского применения, зарегистрированных на территории РФ, с указанием средних суточных и курсовых доз; виды лечебного питания, включая специализированные продукты лечебного питания, имеющие государственную регистрацию.</w:t>
      </w:r>
    </w:p>
    <w:p w14:paraId="52C9CDE9"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Признается утратившим силу приказ Минздрава России от 24 января 2023 г. N 21н, которым утвержден аналогичный стандарт.</w:t>
      </w:r>
    </w:p>
    <w:p w14:paraId="22ED534A"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26D44694"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38A47408" w14:textId="77777777" w:rsidR="00686881" w:rsidRPr="00285B94" w:rsidRDefault="00686881" w:rsidP="00285B94">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285B94">
        <w:rPr>
          <w:rFonts w:ascii="Times New Roman" w:eastAsia="Times New Roman" w:hAnsi="Times New Roman" w:cs="Times New Roman"/>
          <w:b/>
          <w:bCs/>
          <w:color w:val="000000"/>
          <w:sz w:val="24"/>
          <w:szCs w:val="24"/>
          <w:lang w:eastAsia="ru-RU"/>
        </w:rPr>
        <w:t>Рособрнадзор сообщает об особенностях проведения государственной итоговой аттестации в 2026 году для граждан, проходивших обучение за рубежом и вынужденных прервать его в связи с недружественными действиями иностранных государств</w:t>
      </w:r>
    </w:p>
    <w:p w14:paraId="18042FB3" w14:textId="1F2AEB50"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Рособрнадзор</w:t>
      </w:r>
      <w:r w:rsidR="00285B94">
        <w:rPr>
          <w:rFonts w:ascii="Times New Roman" w:eastAsia="Times New Roman" w:hAnsi="Times New Roman" w:cs="Times New Roman"/>
          <w:color w:val="000000"/>
          <w:sz w:val="24"/>
          <w:szCs w:val="24"/>
          <w:lang w:eastAsia="ru-RU"/>
        </w:rPr>
        <w:t xml:space="preserve"> </w:t>
      </w:r>
      <w:r w:rsidR="00285B94" w:rsidRPr="00285B94">
        <w:rPr>
          <w:rFonts w:ascii="PT Sans" w:hAnsi="PT Sans"/>
          <w:b/>
          <w:bCs/>
          <w:color w:val="000000"/>
        </w:rPr>
        <w:t>в приказе</w:t>
      </w:r>
      <w:r w:rsidR="00285B94" w:rsidRPr="00285B94">
        <w:rPr>
          <w:rFonts w:ascii="PT Sans" w:hAnsi="PT Sans"/>
          <w:b/>
          <w:bCs/>
          <w:color w:val="000000"/>
        </w:rPr>
        <w:t xml:space="preserve"> </w:t>
      </w:r>
      <w:proofErr w:type="spellStart"/>
      <w:r w:rsidR="00285B94" w:rsidRPr="00285B94">
        <w:rPr>
          <w:rFonts w:ascii="PT Sans" w:hAnsi="PT Sans"/>
          <w:b/>
          <w:bCs/>
          <w:color w:val="000000"/>
        </w:rPr>
        <w:t>Минпросвещения</w:t>
      </w:r>
      <w:proofErr w:type="spellEnd"/>
      <w:r w:rsidR="00285B94" w:rsidRPr="00285B94">
        <w:rPr>
          <w:rFonts w:ascii="PT Sans" w:hAnsi="PT Sans"/>
          <w:b/>
          <w:bCs/>
          <w:color w:val="000000"/>
        </w:rPr>
        <w:t xml:space="preserve"> России N 138, Рособрнадзора N 455 от 03.03.2026 "Об особенностях проведения государственной итоговой аттестации при завершении освоения образовательных программ основного общего и среднего общего образования в 2026 году" (Зарегистрировано в Минюсте России 30.03.2026 N 85789)</w:t>
      </w:r>
      <w:r w:rsidRPr="00686881">
        <w:rPr>
          <w:rFonts w:ascii="Times New Roman" w:eastAsia="Times New Roman" w:hAnsi="Times New Roman" w:cs="Times New Roman"/>
          <w:color w:val="000000"/>
          <w:sz w:val="24"/>
          <w:szCs w:val="24"/>
          <w:lang w:eastAsia="ru-RU"/>
        </w:rPr>
        <w:t xml:space="preserve"> информирует об особенностях проведения ГИА для двух категорий граждан, установленных приказом </w:t>
      </w:r>
      <w:proofErr w:type="spellStart"/>
      <w:r w:rsidRPr="00686881">
        <w:rPr>
          <w:rFonts w:ascii="Times New Roman" w:eastAsia="Times New Roman" w:hAnsi="Times New Roman" w:cs="Times New Roman"/>
          <w:color w:val="000000"/>
          <w:sz w:val="24"/>
          <w:szCs w:val="24"/>
          <w:lang w:eastAsia="ru-RU"/>
        </w:rPr>
        <w:t>Минпросвещения</w:t>
      </w:r>
      <w:proofErr w:type="spellEnd"/>
      <w:r w:rsidRPr="00686881">
        <w:rPr>
          <w:rFonts w:ascii="Times New Roman" w:eastAsia="Times New Roman" w:hAnsi="Times New Roman" w:cs="Times New Roman"/>
          <w:color w:val="000000"/>
          <w:sz w:val="24"/>
          <w:szCs w:val="24"/>
          <w:lang w:eastAsia="ru-RU"/>
        </w:rPr>
        <w:t xml:space="preserve"> и Рособрнадзора от 3 марта 2026 г. N 138/455. Отмечено, что для прохождения ГИА в соответствии с вышеназванными особенностями необходимо наличие документального подтверждения отнесения участников ГИА к той или иной категории.</w:t>
      </w:r>
    </w:p>
    <w:p w14:paraId="73A6A2DE"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письме даны разъяснения относительно:</w:t>
      </w:r>
    </w:p>
    <w:p w14:paraId="5AC30B5E"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lastRenderedPageBreak/>
        <w:t>проведения итогового собеседования по русскому языку и итогового сочинения (изложения) (в том числе приводятся схемы участия в итоговом сочинении (изложении) обучающихся, находящихся в иностранных государствах, в связи с невозможностью прибытия на территорию РФ);</w:t>
      </w:r>
    </w:p>
    <w:p w14:paraId="07980492"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форм проведения ГИА для обучающихся обеих категорий;</w:t>
      </w:r>
    </w:p>
    <w:p w14:paraId="6DF40C55"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выдачи аттестатов об основном общем и среднем общем образовании и приложений к ним.</w:t>
      </w:r>
    </w:p>
    <w:p w14:paraId="468A1B07"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7F9B6063" w14:textId="77777777" w:rsidR="00686881" w:rsidRPr="00285B94" w:rsidRDefault="00686881" w:rsidP="00285B94">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285B94">
        <w:rPr>
          <w:rFonts w:ascii="Times New Roman" w:eastAsia="Times New Roman" w:hAnsi="Times New Roman" w:cs="Times New Roman"/>
          <w:b/>
          <w:bCs/>
          <w:color w:val="000000"/>
          <w:sz w:val="24"/>
          <w:szCs w:val="24"/>
          <w:lang w:eastAsia="ru-RU"/>
        </w:rPr>
        <w:t>С 1 сентября 2026 г. устанавливается перечень заболеваний, препятствующих исполнению обязанностей частного охранника</w:t>
      </w:r>
    </w:p>
    <w:p w14:paraId="57ED1C41" w14:textId="4C9A3363" w:rsidR="00686881" w:rsidRPr="00686881" w:rsidRDefault="00285B94"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Приказ</w:t>
      </w:r>
      <w:r>
        <w:rPr>
          <w:rFonts w:ascii="Times New Roman" w:eastAsia="Times New Roman" w:hAnsi="Times New Roman" w:cs="Times New Roman"/>
          <w:color w:val="000000"/>
          <w:sz w:val="24"/>
          <w:szCs w:val="24"/>
          <w:lang w:eastAsia="ru-RU"/>
        </w:rPr>
        <w:t>ом</w:t>
      </w:r>
      <w:r w:rsidRPr="00686881">
        <w:rPr>
          <w:rFonts w:ascii="Times New Roman" w:eastAsia="Times New Roman" w:hAnsi="Times New Roman" w:cs="Times New Roman"/>
          <w:color w:val="000000"/>
          <w:sz w:val="24"/>
          <w:szCs w:val="24"/>
          <w:lang w:eastAsia="ru-RU"/>
        </w:rPr>
        <w:t xml:space="preserve"> Минздрава России от 16.03.2026 N 186н "Об утверждении перечня заболеваний, препятствующих исполнению обязанностей частного охранника" </w:t>
      </w:r>
      <w:r>
        <w:rPr>
          <w:rFonts w:ascii="Times New Roman" w:eastAsia="Times New Roman" w:hAnsi="Times New Roman" w:cs="Times New Roman"/>
          <w:color w:val="000000"/>
          <w:sz w:val="24"/>
          <w:szCs w:val="24"/>
          <w:lang w:eastAsia="ru-RU"/>
        </w:rPr>
        <w:t>в</w:t>
      </w:r>
      <w:r w:rsidR="00686881" w:rsidRPr="00686881">
        <w:rPr>
          <w:rFonts w:ascii="Times New Roman" w:eastAsia="Times New Roman" w:hAnsi="Times New Roman" w:cs="Times New Roman"/>
          <w:color w:val="000000"/>
          <w:sz w:val="24"/>
          <w:szCs w:val="24"/>
          <w:lang w:eastAsia="ru-RU"/>
        </w:rPr>
        <w:t xml:space="preserve"> перечень включены психические расстройства и расстройства поведения, психические расстройства и расстройства поведения, связанные с употреблением психоактивных веществ, а также болезни глаза и его придаточного аппарата, всего 65 позиций.</w:t>
      </w:r>
    </w:p>
    <w:p w14:paraId="7E13806C" w14:textId="77777777" w:rsidR="000F254A" w:rsidRPr="000F254A" w:rsidRDefault="00686881" w:rsidP="000F254A">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0F254A">
        <w:rPr>
          <w:rFonts w:ascii="Times New Roman" w:eastAsia="Times New Roman" w:hAnsi="Times New Roman" w:cs="Times New Roman"/>
          <w:b/>
          <w:bCs/>
          <w:color w:val="000000"/>
          <w:sz w:val="24"/>
          <w:szCs w:val="24"/>
          <w:lang w:eastAsia="ru-RU"/>
        </w:rPr>
        <w:t>Утверждены методические рекомендации по организации исследований по оценке фактического питания обучающихся в рамках федерального проекта "Здоровье для каждого"</w:t>
      </w:r>
    </w:p>
    <w:p w14:paraId="5E7B1DAA" w14:textId="6B32867E"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Методические рекомендации</w:t>
      </w:r>
      <w:r w:rsidR="000F254A">
        <w:rPr>
          <w:rFonts w:ascii="Times New Roman" w:eastAsia="Times New Roman" w:hAnsi="Times New Roman" w:cs="Times New Roman"/>
          <w:color w:val="000000"/>
          <w:sz w:val="24"/>
          <w:szCs w:val="24"/>
          <w:lang w:eastAsia="ru-RU"/>
        </w:rPr>
        <w:t xml:space="preserve"> </w:t>
      </w:r>
      <w:r w:rsidR="000F254A" w:rsidRPr="00686881">
        <w:rPr>
          <w:rFonts w:ascii="Times New Roman" w:eastAsia="Times New Roman" w:hAnsi="Times New Roman" w:cs="Times New Roman"/>
          <w:color w:val="000000"/>
          <w:sz w:val="24"/>
          <w:szCs w:val="24"/>
          <w:lang w:eastAsia="ru-RU"/>
        </w:rPr>
        <w:t>"МР 2.3.0416-26. 2.3. Гигиена питания. Организация исследований по оценке фактического питания обучающихся в рамках федерального проекта "Здоровье для каждого". Методические рекомендации" (утв. Главным государственным санитарным врачом РФ 27.02.2026)</w:t>
      </w:r>
      <w:r w:rsidR="000F254A">
        <w:rPr>
          <w:rFonts w:ascii="Times New Roman" w:eastAsia="Times New Roman" w:hAnsi="Times New Roman" w:cs="Times New Roman"/>
          <w:color w:val="000000"/>
          <w:sz w:val="24"/>
          <w:szCs w:val="24"/>
          <w:lang w:eastAsia="ru-RU"/>
        </w:rPr>
        <w:t xml:space="preserve"> </w:t>
      </w:r>
      <w:r w:rsidRPr="00686881">
        <w:rPr>
          <w:rFonts w:ascii="Times New Roman" w:eastAsia="Times New Roman" w:hAnsi="Times New Roman" w:cs="Times New Roman"/>
          <w:color w:val="000000"/>
          <w:sz w:val="24"/>
          <w:szCs w:val="24"/>
          <w:lang w:eastAsia="ru-RU"/>
        </w:rPr>
        <w:t xml:space="preserve"> содержат подходы к подготовке и проведению исследований по оценке фактического питания обучающихся образовательных организаций в возрасте от 12 до 23 лет, проводимых в рамках мероприятий федерального проекта "Здоровье для каждого", входящего в национальный проект "Продолжительная и активная жизнь", реализуемых Роспотребнадзором.</w:t>
      </w:r>
    </w:p>
    <w:p w14:paraId="342DF8FF"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документе описана последовательность этапов проведения исследования и алгоритм проведения интервьюирования и внесения результатов в автоматизированную систему сбора и анализа результатов.</w:t>
      </w:r>
    </w:p>
    <w:p w14:paraId="62B61A3D"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Методические рекомендации предназначены для органов и организаций Роспотребнадзора 30 субъектов Российской Федерации, принимающих участие в 2026 году в реализации федерального проекта "Здоровье для каждого". Они введены взамен МР 2.3.0370-25, утвержденных Главным государственным санитарным врачом РФ 24 марта 2025 года.</w:t>
      </w:r>
    </w:p>
    <w:p w14:paraId="7F197A8F"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3545CF89" w14:textId="7C027C25" w:rsidR="00686881" w:rsidRPr="000F254A" w:rsidRDefault="000F254A" w:rsidP="000F254A">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0F254A">
        <w:rPr>
          <w:rFonts w:ascii="Times New Roman" w:eastAsia="Times New Roman" w:hAnsi="Times New Roman" w:cs="Times New Roman"/>
          <w:b/>
          <w:bCs/>
          <w:color w:val="000000"/>
          <w:sz w:val="24"/>
          <w:szCs w:val="24"/>
          <w:lang w:eastAsia="ru-RU"/>
        </w:rPr>
        <w:t>Письмо</w:t>
      </w:r>
      <w:r w:rsidRPr="000F254A">
        <w:rPr>
          <w:rFonts w:ascii="Times New Roman" w:eastAsia="Times New Roman" w:hAnsi="Times New Roman" w:cs="Times New Roman"/>
          <w:b/>
          <w:bCs/>
          <w:color w:val="000000"/>
          <w:sz w:val="24"/>
          <w:szCs w:val="24"/>
          <w:lang w:eastAsia="ru-RU"/>
        </w:rPr>
        <w:t>м</w:t>
      </w:r>
      <w:r w:rsidRPr="000F254A">
        <w:rPr>
          <w:rFonts w:ascii="Times New Roman" w:eastAsia="Times New Roman" w:hAnsi="Times New Roman" w:cs="Times New Roman"/>
          <w:b/>
          <w:bCs/>
          <w:color w:val="000000"/>
          <w:sz w:val="24"/>
          <w:szCs w:val="24"/>
          <w:lang w:eastAsia="ru-RU"/>
        </w:rPr>
        <w:t xml:space="preserve"> Минстроя России от 26.03.2026 N 7164-ОГ/08 </w:t>
      </w:r>
      <w:r w:rsidRPr="000F254A">
        <w:rPr>
          <w:rFonts w:ascii="Times New Roman" w:eastAsia="Times New Roman" w:hAnsi="Times New Roman" w:cs="Times New Roman"/>
          <w:b/>
          <w:bCs/>
          <w:color w:val="000000"/>
          <w:sz w:val="24"/>
          <w:szCs w:val="24"/>
          <w:lang w:eastAsia="ru-RU"/>
        </w:rPr>
        <w:t>«</w:t>
      </w:r>
      <w:r w:rsidRPr="000F254A">
        <w:rPr>
          <w:rFonts w:ascii="Times New Roman" w:eastAsia="Times New Roman" w:hAnsi="Times New Roman" w:cs="Times New Roman"/>
          <w:b/>
          <w:bCs/>
          <w:color w:val="000000"/>
          <w:sz w:val="24"/>
          <w:szCs w:val="24"/>
          <w:lang w:eastAsia="ru-RU"/>
        </w:rPr>
        <w:t>О применении нормативных технических документов в сфере строительства</w:t>
      </w:r>
      <w:r w:rsidRPr="000F254A">
        <w:rPr>
          <w:rFonts w:ascii="Times New Roman" w:eastAsia="Times New Roman" w:hAnsi="Times New Roman" w:cs="Times New Roman"/>
          <w:b/>
          <w:bCs/>
          <w:color w:val="000000"/>
          <w:sz w:val="24"/>
          <w:szCs w:val="24"/>
          <w:lang w:eastAsia="ru-RU"/>
        </w:rPr>
        <w:t>» д</w:t>
      </w:r>
      <w:r w:rsidR="00686881" w:rsidRPr="000F254A">
        <w:rPr>
          <w:rFonts w:ascii="Times New Roman" w:eastAsia="Times New Roman" w:hAnsi="Times New Roman" w:cs="Times New Roman"/>
          <w:b/>
          <w:bCs/>
          <w:color w:val="000000"/>
          <w:sz w:val="24"/>
          <w:szCs w:val="24"/>
          <w:lang w:eastAsia="ru-RU"/>
        </w:rPr>
        <w:t>аны разъяснения по вопросу установки газовой плиты в жилом доме</w:t>
      </w:r>
    </w:p>
    <w:p w14:paraId="5237780F"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xml:space="preserve">Сообщается, в частности, что при установке газовой плиты в одноквартирном и блокированном жилом доме необходимо учитывать требования пункта 5.1 СП </w:t>
      </w:r>
      <w:r w:rsidRPr="00686881">
        <w:rPr>
          <w:rFonts w:ascii="Times New Roman" w:eastAsia="Times New Roman" w:hAnsi="Times New Roman" w:cs="Times New Roman"/>
          <w:color w:val="000000"/>
          <w:sz w:val="24"/>
          <w:szCs w:val="24"/>
          <w:lang w:eastAsia="ru-RU"/>
        </w:rPr>
        <w:lastRenderedPageBreak/>
        <w:t>402.1325800.2018 "Здания жилые. Правила проектирования систем газопотребления" (далее - СП 402.1325800.2018).</w:t>
      </w:r>
    </w:p>
    <w:p w14:paraId="3505C79E"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Требования к материалам в местах установки газовых плит приведены в пункте 5.3 СП 402.1325800.2018.</w:t>
      </w:r>
    </w:p>
    <w:p w14:paraId="39C7CF04"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Расстояние от газовой плиты, в том числе встроенной варочной поверхности, до изолированных негорючими материалами стен помещения следует принимать в соответствии с требованиями Постановления Правительства РФ от 16 сентября 2020 года N 1479 "Об утверждении Правил противопожарного режима в Российской Федерации" и инструкциями предприятия - изготовителя бытового газоиспользующего оборудования.</w:t>
      </w:r>
    </w:p>
    <w:p w14:paraId="415DA565"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соответствии с пунктом 5.9 СП 402.1325800.2018 вентиляция помещений, предназначенных для установки бытового газоиспользующего оборудования, должна быть естественной.</w:t>
      </w:r>
    </w:p>
    <w:p w14:paraId="409EDE78"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Параметры воздуха в помещениях следует принимать согласно СП 60.13330.2020 "СНиП 41-01-2003 Отопление, вентиляция и кондиционирование воздуха".</w:t>
      </w:r>
    </w:p>
    <w:p w14:paraId="29C98613"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Нормы воздухообмена в помещениях в режиме обслуживания следует принимать в соответствии с таблицей 5.1 СП 402.1325800.2018.</w:t>
      </w:r>
    </w:p>
    <w:p w14:paraId="332950A2"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При установке газовой плиты в многоквартирном жилом доме необходимо учитывать требования пункта 5.16 СП 402.1325800.2018. Установку бытовых газовых плит в многоквартирных жилых домах следует предусматривать в помещениях кухонь с соблюдением требований СП 7.13130.2013 "Отопление, вентиляция и кондиционирование. Требования пожарной безопасности". Установка газовых плит в кухне-нише не допускается.</w:t>
      </w:r>
    </w:p>
    <w:p w14:paraId="53072680"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Требования к воздухообмену в помещениях с расположенным в них бытовым газоиспользующим оборудованием необходимо принимать в соответствии с таблицей 5.1 СП 402.1325800.2018.</w:t>
      </w:r>
    </w:p>
    <w:p w14:paraId="21BAE7AC" w14:textId="77777777" w:rsidR="000F254A" w:rsidRDefault="000F254A"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091333B8" w14:textId="77777777" w:rsidR="00686881" w:rsidRPr="000F254A" w:rsidRDefault="00686881" w:rsidP="000F254A">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0F254A">
        <w:rPr>
          <w:rFonts w:ascii="Times New Roman" w:eastAsia="Times New Roman" w:hAnsi="Times New Roman" w:cs="Times New Roman"/>
          <w:b/>
          <w:bCs/>
          <w:color w:val="000000"/>
          <w:sz w:val="24"/>
          <w:szCs w:val="24"/>
          <w:lang w:eastAsia="ru-RU"/>
        </w:rPr>
        <w:t>Минстрой России: факт нахождения элементов внутридомовой системы отопления внутри помещения в МКД не означает, что такие элементы исключаются из состава общего имущества дома</w:t>
      </w:r>
    </w:p>
    <w:p w14:paraId="40B3DB7B" w14:textId="2B2BE181" w:rsidR="00686881" w:rsidRPr="00686881" w:rsidRDefault="000F254A"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w:t>
      </w:r>
      <w:r w:rsidRPr="00686881">
        <w:rPr>
          <w:rFonts w:ascii="Times New Roman" w:eastAsia="Times New Roman" w:hAnsi="Times New Roman" w:cs="Times New Roman"/>
          <w:color w:val="000000"/>
          <w:sz w:val="24"/>
          <w:szCs w:val="24"/>
          <w:lang w:eastAsia="ru-RU"/>
        </w:rPr>
        <w:t>Письм</w:t>
      </w:r>
      <w:r>
        <w:rPr>
          <w:rFonts w:ascii="Times New Roman" w:eastAsia="Times New Roman" w:hAnsi="Times New Roman" w:cs="Times New Roman"/>
          <w:color w:val="000000"/>
          <w:sz w:val="24"/>
          <w:szCs w:val="24"/>
          <w:lang w:eastAsia="ru-RU"/>
        </w:rPr>
        <w:t>е</w:t>
      </w:r>
      <w:r w:rsidRPr="00686881">
        <w:rPr>
          <w:rFonts w:ascii="Times New Roman" w:eastAsia="Times New Roman" w:hAnsi="Times New Roman" w:cs="Times New Roman"/>
          <w:color w:val="000000"/>
          <w:sz w:val="24"/>
          <w:szCs w:val="24"/>
          <w:lang w:eastAsia="ru-RU"/>
        </w:rPr>
        <w:t xml:space="preserve"> Минстроя России от 09.04.2026 N 20682-ДН/04 </w:t>
      </w:r>
      <w:r>
        <w:rPr>
          <w:rFonts w:ascii="Times New Roman" w:eastAsia="Times New Roman" w:hAnsi="Times New Roman" w:cs="Times New Roman"/>
          <w:color w:val="000000"/>
          <w:sz w:val="24"/>
          <w:szCs w:val="24"/>
          <w:lang w:eastAsia="ru-RU"/>
        </w:rPr>
        <w:t>«</w:t>
      </w:r>
      <w:r w:rsidRPr="00686881">
        <w:rPr>
          <w:rFonts w:ascii="Times New Roman" w:eastAsia="Times New Roman" w:hAnsi="Times New Roman" w:cs="Times New Roman"/>
          <w:color w:val="000000"/>
          <w:sz w:val="24"/>
          <w:szCs w:val="24"/>
          <w:lang w:eastAsia="ru-RU"/>
        </w:rPr>
        <w:t>О границе балансовой принадлежности внутридомовых систем поставки коммунальных услуг</w:t>
      </w:r>
      <w:r>
        <w:rPr>
          <w:rFonts w:ascii="Times New Roman" w:eastAsia="Times New Roman" w:hAnsi="Times New Roman" w:cs="Times New Roman"/>
          <w:color w:val="000000"/>
          <w:sz w:val="24"/>
          <w:szCs w:val="24"/>
          <w:lang w:eastAsia="ru-RU"/>
        </w:rPr>
        <w:t>» о</w:t>
      </w:r>
      <w:r w:rsidR="00686881" w:rsidRPr="00686881">
        <w:rPr>
          <w:rFonts w:ascii="Times New Roman" w:eastAsia="Times New Roman" w:hAnsi="Times New Roman" w:cs="Times New Roman"/>
          <w:color w:val="000000"/>
          <w:sz w:val="24"/>
          <w:szCs w:val="24"/>
          <w:lang w:eastAsia="ru-RU"/>
        </w:rPr>
        <w:t>тмечается, что согласно правовой позиции Верховного Суда РФ обогревающие элементы (радиаторы) внутридомовой системы отопления, обслуживающие только одну квартиру, в том числе имеющие отключающие устройства (запорную арматуру), использование которых не повлечет за собой нарушение прав и законных интересов иных собственников помещений в МКД, в состав общего имущества собственников помещений в МКД не включаются.</w:t>
      </w:r>
    </w:p>
    <w:p w14:paraId="4EF7DC05"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xml:space="preserve">В указанном случае границей балансовой принадлежности является первый запорно-регулировочный кран на отводе непосредственно к радиатору отопления, являющемуся </w:t>
      </w:r>
      <w:r w:rsidRPr="00686881">
        <w:rPr>
          <w:rFonts w:ascii="Times New Roman" w:eastAsia="Times New Roman" w:hAnsi="Times New Roman" w:cs="Times New Roman"/>
          <w:color w:val="000000"/>
          <w:sz w:val="24"/>
          <w:szCs w:val="24"/>
          <w:lang w:eastAsia="ru-RU"/>
        </w:rPr>
        <w:lastRenderedPageBreak/>
        <w:t>индивидуальной собственностью собственника помещения, при этом такой запорно-регулировочный кран входит в состав общего имущества в МКД.</w:t>
      </w:r>
    </w:p>
    <w:p w14:paraId="15C07998"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При отсутствии запорно-регулировочного крана на отводе непосредственно к радиатору отопления указанный радиатор отопления входит в состав общего имущества в МКД. При этом определение границы балансовой принадлежности по иному запорно-регулировочному крану, предполагающему отнесение к индивидуальной собственности собственника помещения не только одного радиатора отопления, но и участка сети отопления, в том числе включающего в себя группу (более одного) радиаторов отопления, законом не предусмотрено.</w:t>
      </w:r>
    </w:p>
    <w:p w14:paraId="14058487" w14:textId="14FBB092" w:rsid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Вышеизложенное справедливо для всех МКД независимо от типа разводки внутридомовой системы отопления (вертикальная или горизонтальная).</w:t>
      </w:r>
    </w:p>
    <w:p w14:paraId="16B1856B" w14:textId="77777777" w:rsidR="006A6AC5" w:rsidRPr="00686881" w:rsidRDefault="006A6AC5"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7FF394B0" w14:textId="073EF2F7" w:rsidR="006A6AC5" w:rsidRPr="006A6AC5" w:rsidRDefault="006A6AC5" w:rsidP="006A6AC5">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6A6AC5">
        <w:rPr>
          <w:rFonts w:ascii="Times New Roman" w:eastAsia="Times New Roman" w:hAnsi="Times New Roman" w:cs="Times New Roman"/>
          <w:b/>
          <w:bCs/>
          <w:color w:val="000000"/>
          <w:sz w:val="24"/>
          <w:szCs w:val="24"/>
          <w:lang w:eastAsia="ru-RU"/>
        </w:rPr>
        <w:t xml:space="preserve">Письмо </w:t>
      </w:r>
      <w:r w:rsidRPr="006A6AC5">
        <w:rPr>
          <w:rFonts w:ascii="Times New Roman" w:eastAsia="Times New Roman" w:hAnsi="Times New Roman" w:cs="Times New Roman"/>
          <w:b/>
          <w:bCs/>
          <w:color w:val="000000"/>
          <w:sz w:val="24"/>
          <w:szCs w:val="24"/>
          <w:lang w:eastAsia="ru-RU"/>
        </w:rPr>
        <w:t xml:space="preserve">Минстроя России от 10.04.2026 N 20896-ДН/04 </w:t>
      </w:r>
      <w:r w:rsidRPr="006A6AC5">
        <w:rPr>
          <w:rFonts w:ascii="Times New Roman" w:eastAsia="Times New Roman" w:hAnsi="Times New Roman" w:cs="Times New Roman"/>
          <w:b/>
          <w:bCs/>
          <w:color w:val="000000"/>
          <w:sz w:val="24"/>
          <w:szCs w:val="24"/>
          <w:lang w:eastAsia="ru-RU"/>
        </w:rPr>
        <w:t>«</w:t>
      </w:r>
      <w:r w:rsidRPr="006A6AC5">
        <w:rPr>
          <w:rFonts w:ascii="Times New Roman" w:eastAsia="Times New Roman" w:hAnsi="Times New Roman" w:cs="Times New Roman"/>
          <w:b/>
          <w:bCs/>
          <w:color w:val="000000"/>
          <w:sz w:val="24"/>
          <w:szCs w:val="24"/>
          <w:lang w:eastAsia="ru-RU"/>
        </w:rPr>
        <w:t>Об использовании общего имущества в МКД</w:t>
      </w:r>
      <w:r w:rsidRPr="006A6AC5">
        <w:rPr>
          <w:rFonts w:ascii="Times New Roman" w:eastAsia="Times New Roman" w:hAnsi="Times New Roman" w:cs="Times New Roman"/>
          <w:b/>
          <w:bCs/>
          <w:color w:val="000000"/>
          <w:sz w:val="24"/>
          <w:szCs w:val="24"/>
          <w:lang w:eastAsia="ru-RU"/>
        </w:rPr>
        <w:t>»</w:t>
      </w:r>
    </w:p>
    <w:p w14:paraId="76209271" w14:textId="6403C6EE"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Минстрой: использование любого элемента общего имущества в МКД (в том числе использование участка фасада МКД в целях установки и эксплуатации рекламных конструкций) возможно исключительно при наличии соответствующего решения общего собрания собственников помещений в МКД</w:t>
      </w:r>
    </w:p>
    <w:p w14:paraId="5A9EFD99"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Правила благоустройства, действующие на территории муниципального образования, могут устанавливать требования к фасадам зданий (включая МКД), в том числе к порядку установки и эксплуатации рекламных конструкций и иных объектов.</w:t>
      </w:r>
    </w:p>
    <w:p w14:paraId="2073BCDD"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Исполнение указанных требований, установленных на территории муниципального образования, при использовании участка фасада МКД в целях установки и эксплуатации рекламных конструкций и иных объектов не приводит к праву отказа от исполнения требования закона об обязательности решения общего собрания собственников, устанавливающего право на использование общего имущества МКД и условия такого использования.</w:t>
      </w:r>
    </w:p>
    <w:p w14:paraId="13211B71"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76C40F5E" w14:textId="77777777" w:rsidR="00686881" w:rsidRPr="006A6AC5" w:rsidRDefault="00686881" w:rsidP="006A6AC5">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6A6AC5">
        <w:rPr>
          <w:rFonts w:ascii="Times New Roman" w:eastAsia="Times New Roman" w:hAnsi="Times New Roman" w:cs="Times New Roman"/>
          <w:b/>
          <w:bCs/>
          <w:color w:val="000000"/>
          <w:sz w:val="24"/>
          <w:szCs w:val="24"/>
          <w:lang w:eastAsia="ru-RU"/>
        </w:rPr>
        <w:t>Дополнен перечень категорий работников, у которых есть преимущественное право остаться на работе при сокращении</w:t>
      </w:r>
    </w:p>
    <w:p w14:paraId="5A8E7246"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часть вторую статьи 179 ТК РФ внесены изменения, согласно которым преимущественное право на оставление на работе при сокращении численности или штата предоставлено также сотрудникам, чей трудовой договор был возобновлен после возвращения с военной службы в соответствии с положениями статьи 351.7 ТК РФ.</w:t>
      </w:r>
    </w:p>
    <w:p w14:paraId="25C2BB47"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При равной производительности труда и квалификации необходимо отдавать предпочтение таким работникам.</w:t>
      </w:r>
    </w:p>
    <w:p w14:paraId="3A975016"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Настоящий Федеральный закон вступает в силу с 1 сентября 2026 года.</w:t>
      </w:r>
    </w:p>
    <w:p w14:paraId="59E825CC"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00F38D84" w14:textId="77777777" w:rsidR="00686881" w:rsidRPr="006A6AC5" w:rsidRDefault="00686881" w:rsidP="006A6AC5">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6A6AC5">
        <w:rPr>
          <w:rFonts w:ascii="Times New Roman" w:eastAsia="Times New Roman" w:hAnsi="Times New Roman" w:cs="Times New Roman"/>
          <w:b/>
          <w:bCs/>
          <w:color w:val="000000"/>
          <w:sz w:val="24"/>
          <w:szCs w:val="24"/>
          <w:lang w:eastAsia="ru-RU"/>
        </w:rPr>
        <w:lastRenderedPageBreak/>
        <w:t xml:space="preserve">Членам семьи и близким родственникам тяжелобольного сотрудника войск </w:t>
      </w:r>
      <w:proofErr w:type="spellStart"/>
      <w:r w:rsidRPr="006A6AC5">
        <w:rPr>
          <w:rFonts w:ascii="Times New Roman" w:eastAsia="Times New Roman" w:hAnsi="Times New Roman" w:cs="Times New Roman"/>
          <w:b/>
          <w:bCs/>
          <w:color w:val="000000"/>
          <w:sz w:val="24"/>
          <w:szCs w:val="24"/>
          <w:lang w:eastAsia="ru-RU"/>
        </w:rPr>
        <w:t>Росгвардии</w:t>
      </w:r>
      <w:proofErr w:type="spellEnd"/>
      <w:r w:rsidRPr="006A6AC5">
        <w:rPr>
          <w:rFonts w:ascii="Times New Roman" w:eastAsia="Times New Roman" w:hAnsi="Times New Roman" w:cs="Times New Roman"/>
          <w:b/>
          <w:bCs/>
          <w:color w:val="000000"/>
          <w:sz w:val="24"/>
          <w:szCs w:val="24"/>
          <w:lang w:eastAsia="ru-RU"/>
        </w:rPr>
        <w:t xml:space="preserve"> предоставлено право проезда на безвозмездной основе от места их жительства до места нахождения больного и обратно</w:t>
      </w:r>
    </w:p>
    <w:p w14:paraId="1A88A55F" w14:textId="0D041D0E" w:rsidR="00686881" w:rsidRPr="00686881" w:rsidRDefault="006A6AC5"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Федеральны</w:t>
      </w:r>
      <w:r>
        <w:rPr>
          <w:rFonts w:ascii="Times New Roman" w:eastAsia="Times New Roman" w:hAnsi="Times New Roman" w:cs="Times New Roman"/>
          <w:color w:val="000000"/>
          <w:sz w:val="24"/>
          <w:szCs w:val="24"/>
          <w:lang w:eastAsia="ru-RU"/>
        </w:rPr>
        <w:t>м</w:t>
      </w:r>
      <w:r w:rsidRPr="00686881">
        <w:rPr>
          <w:rFonts w:ascii="Times New Roman" w:eastAsia="Times New Roman" w:hAnsi="Times New Roman" w:cs="Times New Roman"/>
          <w:color w:val="000000"/>
          <w:sz w:val="24"/>
          <w:szCs w:val="24"/>
          <w:lang w:eastAsia="ru-RU"/>
        </w:rPr>
        <w:t xml:space="preserve"> закон</w:t>
      </w:r>
      <w:r>
        <w:rPr>
          <w:rFonts w:ascii="Times New Roman" w:eastAsia="Times New Roman" w:hAnsi="Times New Roman" w:cs="Times New Roman"/>
          <w:color w:val="000000"/>
          <w:sz w:val="24"/>
          <w:szCs w:val="24"/>
          <w:lang w:eastAsia="ru-RU"/>
        </w:rPr>
        <w:t>ом</w:t>
      </w:r>
      <w:r w:rsidRPr="00686881">
        <w:rPr>
          <w:rFonts w:ascii="Times New Roman" w:eastAsia="Times New Roman" w:hAnsi="Times New Roman" w:cs="Times New Roman"/>
          <w:color w:val="000000"/>
          <w:sz w:val="24"/>
          <w:szCs w:val="24"/>
          <w:lang w:eastAsia="ru-RU"/>
        </w:rPr>
        <w:t xml:space="preserve"> от 25.04.2026 N 109-ФЗ "О внесении изменения в статью 28.1 Федерального закона "О войсках национальной гвардии Российской Федерации"</w:t>
      </w:r>
      <w:r>
        <w:rPr>
          <w:rFonts w:ascii="Times New Roman" w:eastAsia="Times New Roman" w:hAnsi="Times New Roman" w:cs="Times New Roman"/>
          <w:color w:val="000000"/>
          <w:sz w:val="24"/>
          <w:szCs w:val="24"/>
          <w:lang w:eastAsia="ru-RU"/>
        </w:rPr>
        <w:t xml:space="preserve"> у</w:t>
      </w:r>
      <w:r w:rsidR="00686881" w:rsidRPr="00686881">
        <w:rPr>
          <w:rFonts w:ascii="Times New Roman" w:eastAsia="Times New Roman" w:hAnsi="Times New Roman" w:cs="Times New Roman"/>
          <w:color w:val="000000"/>
          <w:sz w:val="24"/>
          <w:szCs w:val="24"/>
          <w:lang w:eastAsia="ru-RU"/>
        </w:rPr>
        <w:t>становлено, что в случае тяжелой болезни сотрудника, в том числе вследствие полученного увечья (ранения, травмы, контузии), двум членам его семьи или двум близким родственникам оплачивается стоимость проезда железнодорожным, воздушным, водным и автомобильным (за исключением такси) транспортом от места их жительства до места нахождения больного и обратно один раз за время болезни в порядке, определяемом руководителем уполномоченного федерального органа исполнительной власти.</w:t>
      </w:r>
    </w:p>
    <w:p w14:paraId="073CEBA2"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Под близкими родственниками сотрудника понимаются отец (мать), отец (мать) супруга, сын (дочь), полнородные (неполнородные) братья и сестры.</w:t>
      </w:r>
    </w:p>
    <w:p w14:paraId="7146F523" w14:textId="71DB563C"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Настоящий Федеральный закон вступает в силу со дня его официального опубликования.</w:t>
      </w:r>
    </w:p>
    <w:p w14:paraId="4DB0191C" w14:textId="77777777" w:rsidR="006A6AC5" w:rsidRDefault="006A6AC5" w:rsidP="006A6AC5">
      <w:pPr>
        <w:shd w:val="clear" w:color="auto" w:fill="FFFFFF"/>
        <w:spacing w:after="240" w:line="300" w:lineRule="atLeast"/>
        <w:jc w:val="center"/>
        <w:rPr>
          <w:rFonts w:ascii="Times New Roman" w:eastAsia="Times New Roman" w:hAnsi="Times New Roman" w:cs="Times New Roman"/>
          <w:color w:val="000000"/>
          <w:sz w:val="24"/>
          <w:szCs w:val="24"/>
          <w:lang w:eastAsia="ru-RU"/>
        </w:rPr>
      </w:pPr>
    </w:p>
    <w:p w14:paraId="4528C5B5" w14:textId="301FC407" w:rsidR="00686881" w:rsidRPr="006A6AC5" w:rsidRDefault="00686881" w:rsidP="006A6AC5">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6A6AC5">
        <w:rPr>
          <w:rFonts w:ascii="Times New Roman" w:eastAsia="Times New Roman" w:hAnsi="Times New Roman" w:cs="Times New Roman"/>
          <w:b/>
          <w:bCs/>
          <w:color w:val="000000"/>
          <w:sz w:val="24"/>
          <w:szCs w:val="24"/>
          <w:lang w:eastAsia="ru-RU"/>
        </w:rPr>
        <w:t>Уточнены условия и порядок назначения ежемесячного пособия в связи с рождением и воспитанием ребенка</w:t>
      </w:r>
    </w:p>
    <w:p w14:paraId="48358007"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Теперь для получения ежемесячного пособия в связи с рождением и воспитанием ребенка нужно постоянно проживать в России в статусе гражданина РФ не менее 5 лет.</w:t>
      </w:r>
    </w:p>
    <w:p w14:paraId="477D6D20"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Требование о 5-летнем сроке проживания не распространяется на:</w:t>
      </w:r>
    </w:p>
    <w:p w14:paraId="31D043A3"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граждан, приобретших гражданство РФ по рождению;</w:t>
      </w:r>
    </w:p>
    <w:p w14:paraId="1DBF83FB"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граждан, приобретших гражданство в результате признания гражданином РФ;</w:t>
      </w:r>
    </w:p>
    <w:p w14:paraId="5736FDC3"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граждан, приобретших гражданство в результате приема в гражданство РФ и имеющих статус участника Госпрограммы по переселению, утвержденной Указом N 637;</w:t>
      </w:r>
    </w:p>
    <w:p w14:paraId="73B209EA"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граждан РФ, принимавших участие в СВО, или членов их семей либо являющихся ветеранами боевых действий.</w:t>
      </w:r>
    </w:p>
    <w:p w14:paraId="10333B50"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xml:space="preserve">Кроме того, в соответствии с постановлением будет сохраняться право на пособие для многодетных семей, имеющих детей в возрасте до 17 </w:t>
      </w:r>
      <w:proofErr w:type="gramStart"/>
      <w:r w:rsidRPr="00686881">
        <w:rPr>
          <w:rFonts w:ascii="Times New Roman" w:eastAsia="Times New Roman" w:hAnsi="Times New Roman" w:cs="Times New Roman"/>
          <w:color w:val="000000"/>
          <w:sz w:val="24"/>
          <w:szCs w:val="24"/>
          <w:lang w:eastAsia="ru-RU"/>
        </w:rPr>
        <w:t>лет, в случае, если</w:t>
      </w:r>
      <w:proofErr w:type="gramEnd"/>
      <w:r w:rsidRPr="00686881">
        <w:rPr>
          <w:rFonts w:ascii="Times New Roman" w:eastAsia="Times New Roman" w:hAnsi="Times New Roman" w:cs="Times New Roman"/>
          <w:color w:val="000000"/>
          <w:sz w:val="24"/>
          <w:szCs w:val="24"/>
          <w:lang w:eastAsia="ru-RU"/>
        </w:rPr>
        <w:t xml:space="preserve"> при обращении за назначением ежемесячного пособия размер среднедушевого дохода указанной семьи не более чем на 10% превысит величину прожиточного минимума на душу населения.</w:t>
      </w:r>
    </w:p>
    <w:p w14:paraId="187735B8"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Скорректированы положения, касающиеся определения размера выплачиваемого пособия, и некоторые процедуры, связанные с его назначением.</w:t>
      </w:r>
    </w:p>
    <w:p w14:paraId="30549C87" w14:textId="77777777" w:rsidR="00686881" w:rsidRPr="006A6AC5" w:rsidRDefault="00686881" w:rsidP="006A6AC5">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6A6AC5">
        <w:rPr>
          <w:rFonts w:ascii="Times New Roman" w:eastAsia="Times New Roman" w:hAnsi="Times New Roman" w:cs="Times New Roman"/>
          <w:b/>
          <w:bCs/>
          <w:color w:val="000000"/>
          <w:sz w:val="24"/>
          <w:szCs w:val="24"/>
          <w:lang w:eastAsia="ru-RU"/>
        </w:rPr>
        <w:t xml:space="preserve">Информационное сообщение Банка России от 24.04.2026"Банк России принял решение снизить ключевую ставку на 50 </w:t>
      </w:r>
      <w:proofErr w:type="spellStart"/>
      <w:r w:rsidRPr="006A6AC5">
        <w:rPr>
          <w:rFonts w:ascii="Times New Roman" w:eastAsia="Times New Roman" w:hAnsi="Times New Roman" w:cs="Times New Roman"/>
          <w:b/>
          <w:bCs/>
          <w:color w:val="000000"/>
          <w:sz w:val="24"/>
          <w:szCs w:val="24"/>
          <w:lang w:eastAsia="ru-RU"/>
        </w:rPr>
        <w:t>б.п</w:t>
      </w:r>
      <w:proofErr w:type="spellEnd"/>
      <w:r w:rsidRPr="006A6AC5">
        <w:rPr>
          <w:rFonts w:ascii="Times New Roman" w:eastAsia="Times New Roman" w:hAnsi="Times New Roman" w:cs="Times New Roman"/>
          <w:b/>
          <w:bCs/>
          <w:color w:val="000000"/>
          <w:sz w:val="24"/>
          <w:szCs w:val="24"/>
          <w:lang w:eastAsia="ru-RU"/>
        </w:rPr>
        <w:t>., до 14,50% годовых"</w:t>
      </w:r>
    </w:p>
    <w:p w14:paraId="3905A1DD"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Банк России вновь снизил ключевую ставку и установил ее на уровне 14,50% годовых</w:t>
      </w:r>
    </w:p>
    <w:p w14:paraId="281F6551"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lastRenderedPageBreak/>
        <w:t>Сообщается, в частности, что денежно-кредитные условия немного смягчились, но остаются жесткими. Процентные ставки уменьшились в большинстве сегментов финансового рынка. Неценовые условия банковского кредитования по-прежнему жесткие.</w:t>
      </w:r>
    </w:p>
    <w:p w14:paraId="577E9995"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Кредитная активность сдержанная. Это в том числе связано с рекордно высоким авансированием госрасходов. Склонность домашних хозяйств к сбережению в целом остается высокой.</w:t>
      </w:r>
    </w:p>
    <w:p w14:paraId="2ED6DC12"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roofErr w:type="spellStart"/>
      <w:r w:rsidRPr="00686881">
        <w:rPr>
          <w:rFonts w:ascii="Times New Roman" w:eastAsia="Times New Roman" w:hAnsi="Times New Roman" w:cs="Times New Roman"/>
          <w:color w:val="000000"/>
          <w:sz w:val="24"/>
          <w:szCs w:val="24"/>
          <w:lang w:eastAsia="ru-RU"/>
        </w:rPr>
        <w:t>Проинфляционные</w:t>
      </w:r>
      <w:proofErr w:type="spellEnd"/>
      <w:r w:rsidRPr="00686881">
        <w:rPr>
          <w:rFonts w:ascii="Times New Roman" w:eastAsia="Times New Roman" w:hAnsi="Times New Roman" w:cs="Times New Roman"/>
          <w:color w:val="000000"/>
          <w:sz w:val="24"/>
          <w:szCs w:val="24"/>
          <w:lang w:eastAsia="ru-RU"/>
        </w:rPr>
        <w:t xml:space="preserve"> риски по-прежнему преобладают над </w:t>
      </w:r>
      <w:proofErr w:type="spellStart"/>
      <w:r w:rsidRPr="00686881">
        <w:rPr>
          <w:rFonts w:ascii="Times New Roman" w:eastAsia="Times New Roman" w:hAnsi="Times New Roman" w:cs="Times New Roman"/>
          <w:color w:val="000000"/>
          <w:sz w:val="24"/>
          <w:szCs w:val="24"/>
          <w:lang w:eastAsia="ru-RU"/>
        </w:rPr>
        <w:t>дезинфляционными</w:t>
      </w:r>
      <w:proofErr w:type="spellEnd"/>
      <w:r w:rsidRPr="00686881">
        <w:rPr>
          <w:rFonts w:ascii="Times New Roman" w:eastAsia="Times New Roman" w:hAnsi="Times New Roman" w:cs="Times New Roman"/>
          <w:color w:val="000000"/>
          <w:sz w:val="24"/>
          <w:szCs w:val="24"/>
          <w:lang w:eastAsia="ru-RU"/>
        </w:rPr>
        <w:t xml:space="preserve"> на среднесрочном горизонте. Основные </w:t>
      </w:r>
      <w:proofErr w:type="spellStart"/>
      <w:r w:rsidRPr="00686881">
        <w:rPr>
          <w:rFonts w:ascii="Times New Roman" w:eastAsia="Times New Roman" w:hAnsi="Times New Roman" w:cs="Times New Roman"/>
          <w:color w:val="000000"/>
          <w:sz w:val="24"/>
          <w:szCs w:val="24"/>
          <w:lang w:eastAsia="ru-RU"/>
        </w:rPr>
        <w:t>проинфляционные</w:t>
      </w:r>
      <w:proofErr w:type="spellEnd"/>
      <w:r w:rsidRPr="00686881">
        <w:rPr>
          <w:rFonts w:ascii="Times New Roman" w:eastAsia="Times New Roman" w:hAnsi="Times New Roman" w:cs="Times New Roman"/>
          <w:color w:val="000000"/>
          <w:sz w:val="24"/>
          <w:szCs w:val="24"/>
          <w:lang w:eastAsia="ru-RU"/>
        </w:rPr>
        <w:t xml:space="preserve"> риски связаны с ухудшением перспектив мировой экономики и ростом ценового давления в мире на фоне усиления геополитической напряженности, а также с высокими инфляционными ожиданиями и длительным периодом роста зарплат темпами выше роста производительности труда. </w:t>
      </w:r>
      <w:proofErr w:type="spellStart"/>
      <w:r w:rsidRPr="00686881">
        <w:rPr>
          <w:rFonts w:ascii="Times New Roman" w:eastAsia="Times New Roman" w:hAnsi="Times New Roman" w:cs="Times New Roman"/>
          <w:color w:val="000000"/>
          <w:sz w:val="24"/>
          <w:szCs w:val="24"/>
          <w:lang w:eastAsia="ru-RU"/>
        </w:rPr>
        <w:t>Дезинфляционные</w:t>
      </w:r>
      <w:proofErr w:type="spellEnd"/>
      <w:r w:rsidRPr="00686881">
        <w:rPr>
          <w:rFonts w:ascii="Times New Roman" w:eastAsia="Times New Roman" w:hAnsi="Times New Roman" w:cs="Times New Roman"/>
          <w:color w:val="000000"/>
          <w:sz w:val="24"/>
          <w:szCs w:val="24"/>
          <w:lang w:eastAsia="ru-RU"/>
        </w:rPr>
        <w:t xml:space="preserve"> риски связаны с более значительным замедлением внутреннего спроса.</w:t>
      </w:r>
    </w:p>
    <w:p w14:paraId="03C56A72"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 динамики инфляционных ожиданий, а также от оценки рисков со стороны внешних и внутренних условий.</w:t>
      </w:r>
    </w:p>
    <w:p w14:paraId="47914AF7"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Следующее заседание Совета директоров Банка России, на котором будет рассматриваться вопрос об уровне ключевой ставки, запланировано на 19 июня 2026 года.</w:t>
      </w:r>
    </w:p>
    <w:p w14:paraId="2BF5BE5F" w14:textId="77777777" w:rsidR="00686881" w:rsidRPr="006A6AC5" w:rsidRDefault="00686881" w:rsidP="006A6AC5">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6A6AC5">
        <w:rPr>
          <w:rFonts w:ascii="Times New Roman" w:eastAsia="Times New Roman" w:hAnsi="Times New Roman" w:cs="Times New Roman"/>
          <w:b/>
          <w:bCs/>
          <w:color w:val="000000"/>
          <w:sz w:val="24"/>
          <w:szCs w:val="24"/>
          <w:lang w:eastAsia="ru-RU"/>
        </w:rPr>
        <w:t>Приказ МЧС России от 13.02.2026 N 90 "Об утверждении порядка аттестации физического лица на право управления маломерным судном, а также формы, описания и порядка выдачи удостоверения на право управления маломерным судном" Зарегистрировано в Минюсте России 20.04.2026 N 86111.</w:t>
      </w:r>
    </w:p>
    <w:p w14:paraId="0D9517C9"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Установлен новый порядок аттестации физического лица на право управления маломерным судном</w:t>
      </w:r>
    </w:p>
    <w:p w14:paraId="2BBE2242"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Утверждены форма и описание удостоверения на право управления маломерным судном, а также порядок выдачи удостоверения.</w:t>
      </w:r>
    </w:p>
    <w:p w14:paraId="38350635"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Аттестация осуществляется ГИМС МЧС России вне зависимости от адреса регистрации по месту жительства (пребывания) заявителя.</w:t>
      </w:r>
    </w:p>
    <w:p w14:paraId="653BFCFD"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По результатам аттестации заявителю может быть предоставлено право управления, в том числе гидроциклом, моторным, парусным судном, судном на воздушной подушке в определенных районах плавания.</w:t>
      </w:r>
    </w:p>
    <w:p w14:paraId="496558AA"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Установлена, в том числе, процедура и тематика проверки теоретических знаний и практических навыков заявителя.</w:t>
      </w:r>
    </w:p>
    <w:p w14:paraId="50075B08"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Реализован Федеральный закон от 03.02.2025 N 4-ФЗ "О безопасности людей на водных объектах".</w:t>
      </w:r>
    </w:p>
    <w:p w14:paraId="453C239D" w14:textId="654812E8" w:rsidR="00686881" w:rsidRPr="00EE2448" w:rsidRDefault="00686881" w:rsidP="00EE2448">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EE2448">
        <w:rPr>
          <w:rFonts w:ascii="Times New Roman" w:eastAsia="Times New Roman" w:hAnsi="Times New Roman" w:cs="Times New Roman"/>
          <w:b/>
          <w:bCs/>
          <w:color w:val="000000"/>
          <w:sz w:val="24"/>
          <w:szCs w:val="24"/>
          <w:lang w:eastAsia="ru-RU"/>
        </w:rPr>
        <w:t xml:space="preserve">Письмо Рособрнадзора от 07.04.2026 N 04-78 </w:t>
      </w:r>
      <w:r w:rsidR="00EE2448">
        <w:rPr>
          <w:rFonts w:ascii="Times New Roman" w:eastAsia="Times New Roman" w:hAnsi="Times New Roman" w:cs="Times New Roman"/>
          <w:b/>
          <w:bCs/>
          <w:color w:val="000000"/>
          <w:sz w:val="24"/>
          <w:szCs w:val="24"/>
          <w:lang w:eastAsia="ru-RU"/>
        </w:rPr>
        <w:t>«</w:t>
      </w:r>
      <w:r w:rsidRPr="00EE2448">
        <w:rPr>
          <w:rFonts w:ascii="Times New Roman" w:eastAsia="Times New Roman" w:hAnsi="Times New Roman" w:cs="Times New Roman"/>
          <w:b/>
          <w:bCs/>
          <w:color w:val="000000"/>
          <w:sz w:val="24"/>
          <w:szCs w:val="24"/>
          <w:lang w:eastAsia="ru-RU"/>
        </w:rPr>
        <w:t>О проведении государственной итоговой аттестации по образовательным программам основного общего образования и среднего общего образования в 2026 году</w:t>
      </w:r>
      <w:r w:rsidR="00EE2448">
        <w:rPr>
          <w:rFonts w:ascii="Times New Roman" w:eastAsia="Times New Roman" w:hAnsi="Times New Roman" w:cs="Times New Roman"/>
          <w:b/>
          <w:bCs/>
          <w:color w:val="000000"/>
          <w:sz w:val="24"/>
          <w:szCs w:val="24"/>
          <w:lang w:eastAsia="ru-RU"/>
        </w:rPr>
        <w:t>»</w:t>
      </w:r>
    </w:p>
    <w:p w14:paraId="2F2F127B"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lastRenderedPageBreak/>
        <w:t>Даны разъяснения по порядку проведения в 2026 году ГИА-9, ГИА-11 в российских школах, на выпускников которых распространяются особенности проведения ГИА и приема на обучение, предусмотренные статьей 5 Федерального закона от 17 февраля 2023 года N 19-ФЗ</w:t>
      </w:r>
    </w:p>
    <w:p w14:paraId="3BE4C75C"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xml:space="preserve">Так, в 2026 году лица, обучающиеся по образовательным программам основного общего и среднего общего образования в образовательных организациях, включенных в утвержденный приказом </w:t>
      </w:r>
      <w:proofErr w:type="spellStart"/>
      <w:r w:rsidRPr="00686881">
        <w:rPr>
          <w:rFonts w:ascii="Times New Roman" w:eastAsia="Times New Roman" w:hAnsi="Times New Roman" w:cs="Times New Roman"/>
          <w:color w:val="000000"/>
          <w:sz w:val="24"/>
          <w:szCs w:val="24"/>
          <w:lang w:eastAsia="ru-RU"/>
        </w:rPr>
        <w:t>Минпросвещения</w:t>
      </w:r>
      <w:proofErr w:type="spellEnd"/>
      <w:r w:rsidRPr="00686881">
        <w:rPr>
          <w:rFonts w:ascii="Times New Roman" w:eastAsia="Times New Roman" w:hAnsi="Times New Roman" w:cs="Times New Roman"/>
          <w:color w:val="000000"/>
          <w:sz w:val="24"/>
          <w:szCs w:val="24"/>
          <w:lang w:eastAsia="ru-RU"/>
        </w:rPr>
        <w:t xml:space="preserve"> от 5 марта 2026 г. N 146 Перечень школ, с учетом принятых решений исполнительных органов Белгородской, Курской, Брянской областей, города федерального значения Севастополя, осуществляющих государственное управление в сфере образования, согласованных с Рособрнадзором, проходят ГИА по аналогии с лицами, указанными в подпункте 1 пункта 1 Особенностей проведения ГИА-9 и в подпункте 1 пункта 1 Особенностей проведения ГИА-11, утвержденных приказом </w:t>
      </w:r>
      <w:proofErr w:type="spellStart"/>
      <w:r w:rsidRPr="00686881">
        <w:rPr>
          <w:rFonts w:ascii="Times New Roman" w:eastAsia="Times New Roman" w:hAnsi="Times New Roman" w:cs="Times New Roman"/>
          <w:color w:val="000000"/>
          <w:sz w:val="24"/>
          <w:szCs w:val="24"/>
          <w:lang w:eastAsia="ru-RU"/>
        </w:rPr>
        <w:t>Минпросвещения</w:t>
      </w:r>
      <w:proofErr w:type="spellEnd"/>
      <w:r w:rsidRPr="00686881">
        <w:rPr>
          <w:rFonts w:ascii="Times New Roman" w:eastAsia="Times New Roman" w:hAnsi="Times New Roman" w:cs="Times New Roman"/>
          <w:color w:val="000000"/>
          <w:sz w:val="24"/>
          <w:szCs w:val="24"/>
          <w:lang w:eastAsia="ru-RU"/>
        </w:rPr>
        <w:t xml:space="preserve"> и Рособрнадзора от 9 февраля 2024 г. N 89/208, а именно:</w:t>
      </w:r>
    </w:p>
    <w:p w14:paraId="52C0E39F"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в части форм ГИА-9 и условий допуска к ГИА-9:</w:t>
      </w:r>
    </w:p>
    <w:p w14:paraId="4CE92460"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2025/26 учебном году требование о необходимости прохождения итогового собеседования по русскому языку и наличии результата "зачет" за итоговое собеседование по русскому языку для участников ГИА-9 из Перечня школ применяется;</w:t>
      </w:r>
    </w:p>
    <w:p w14:paraId="27255A02"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участники ГИА-9 из Перечня школ проходят ГИА-9 в форме промежуточной аттестации в соответствии с пунктом 7 Особенностей ГИА-9;</w:t>
      </w:r>
    </w:p>
    <w:p w14:paraId="5EFABE1D"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в части форм ГИА-11 и условий допуска к ГИА-11:</w:t>
      </w:r>
    </w:p>
    <w:p w14:paraId="545C5200"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2025/26 учебном году требование о необходимости прохождения итогового сочинения (изложения) и наличии результата "зачет" за итоговое сочинение (изложение) для участников ГИА-11 из Перечня школ применяется;</w:t>
      </w:r>
    </w:p>
    <w:p w14:paraId="74C2A051"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участники ГИА-11 из Перечня школ проходят ГИА-11: в форме промежуточной аттестации в соответствии с пунктом 7 Особенностей ГИА-11; по своему выбору в форме ЕГЭ в соответствии с пунктом 8 Особенностей ГИА-11.</w:t>
      </w:r>
    </w:p>
    <w:p w14:paraId="698D26DA"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Кроме того, рассмотрены порядок действий образовательных организаций, включенных в Перечень школ, а также порядок выдачи аттестатов об основном общем и среднем общем образовании участникам ГИА из указанного Перечня.</w:t>
      </w:r>
    </w:p>
    <w:p w14:paraId="312F8D24"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084671C7" w14:textId="64DF195C" w:rsidR="00686881" w:rsidRPr="00EE2448" w:rsidRDefault="00686881" w:rsidP="00EE2448">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EE2448">
        <w:rPr>
          <w:rFonts w:ascii="Times New Roman" w:eastAsia="Times New Roman" w:hAnsi="Times New Roman" w:cs="Times New Roman"/>
          <w:b/>
          <w:bCs/>
          <w:color w:val="000000"/>
          <w:sz w:val="24"/>
          <w:szCs w:val="24"/>
          <w:lang w:eastAsia="ru-RU"/>
        </w:rPr>
        <w:t xml:space="preserve">Письмо Рособрнадзора от 14.04.2026 N 04-85 </w:t>
      </w:r>
      <w:r w:rsidR="00EE2448">
        <w:rPr>
          <w:rFonts w:ascii="Times New Roman" w:eastAsia="Times New Roman" w:hAnsi="Times New Roman" w:cs="Times New Roman"/>
          <w:b/>
          <w:bCs/>
          <w:color w:val="000000"/>
          <w:sz w:val="24"/>
          <w:szCs w:val="24"/>
          <w:lang w:eastAsia="ru-RU"/>
        </w:rPr>
        <w:t>«</w:t>
      </w:r>
      <w:r w:rsidRPr="00EE2448">
        <w:rPr>
          <w:rFonts w:ascii="Times New Roman" w:eastAsia="Times New Roman" w:hAnsi="Times New Roman" w:cs="Times New Roman"/>
          <w:b/>
          <w:bCs/>
          <w:color w:val="000000"/>
          <w:sz w:val="24"/>
          <w:szCs w:val="24"/>
          <w:lang w:eastAsia="ru-RU"/>
        </w:rPr>
        <w:t>О направлении графика обработки экзаменационных материалов основного периода проведения ГИА по образовательным программам среднего общего образования в 2026 году</w:t>
      </w:r>
      <w:r w:rsidR="00EE2448">
        <w:rPr>
          <w:rFonts w:ascii="Times New Roman" w:eastAsia="Times New Roman" w:hAnsi="Times New Roman" w:cs="Times New Roman"/>
          <w:b/>
          <w:bCs/>
          <w:color w:val="000000"/>
          <w:sz w:val="24"/>
          <w:szCs w:val="24"/>
          <w:lang w:eastAsia="ru-RU"/>
        </w:rPr>
        <w:t>»</w:t>
      </w:r>
    </w:p>
    <w:p w14:paraId="11878EA7" w14:textId="5DDCBA0F"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Направлен график обработки экзаменационных материалов основного периода проведения ГИА по образовательным программам среднего общего образования в 2026 году</w:t>
      </w:r>
      <w:r w:rsidR="00EE2448">
        <w:rPr>
          <w:rFonts w:ascii="Times New Roman" w:eastAsia="Times New Roman" w:hAnsi="Times New Roman" w:cs="Times New Roman"/>
          <w:color w:val="000000"/>
          <w:sz w:val="24"/>
          <w:szCs w:val="24"/>
          <w:lang w:eastAsia="ru-RU"/>
        </w:rPr>
        <w:t>.</w:t>
      </w:r>
    </w:p>
    <w:p w14:paraId="1878485B"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графике приводятся перечень экзаменов, даты их сдачи, даты завершения обработки экзаменационных работ на региональном уровне, даты обработки экзаменационных работ на федеральном уровне и направления результатов ГИА-11 в регионы.</w:t>
      </w:r>
    </w:p>
    <w:p w14:paraId="597C7A90"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lastRenderedPageBreak/>
        <w:t>Рекомендовано разработать региональные графики официальных дней объявления результатов ГИА и обработки апелляций о несогласии с выставленными баллами в соответствии с фактической датой официального объявления результатов экзаменов.</w:t>
      </w:r>
    </w:p>
    <w:p w14:paraId="1776C64C"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Федеральный закон от 25.04.2026 N 110-ФЗ "О внесении изменений в Федеральный закон "О пожарной безопасности"</w:t>
      </w:r>
    </w:p>
    <w:p w14:paraId="42A21F3C"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Расширены права должностных лиц уполномоченных на осуществление федерального государственного пожарного надзора органов и учреждений</w:t>
      </w:r>
    </w:p>
    <w:p w14:paraId="60952187"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Законе "О пожарной безопасности" закреплены, в том числе, понятия угрозы жизни и здоровью граждан, а также имуществу и окружающей среде в области пожарной безопасности.</w:t>
      </w:r>
    </w:p>
    <w:p w14:paraId="543424FD"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связи с расширением понятийного аппарата дополнены права должностных лиц уполномоченных на осуществление федерального государственного пожарного надзора органов и учреждений, а также обязанности лиц, ответственных за эксплуатацию здания или сооружения.</w:t>
      </w:r>
    </w:p>
    <w:p w14:paraId="6F7BDBCB"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частности, в указанном Законе прописано право таких должностных лиц обращаться в суд с требованиями о запрете эксплуатации (использования) зданий, помещений, сооружений, линейных объектов, территорий, земельных участков, которыми организации и граждане владеют и (или) пользуются и к которым предъявляются требования пожарной безопасности, при наличии информации о причинении или непосредственной угрозе причинения вреда жизни и (или) здоровью граждан в области пожарной безопасности.</w:t>
      </w:r>
    </w:p>
    <w:p w14:paraId="6DD1B1D9" w14:textId="77777777" w:rsidR="00EE2448" w:rsidRDefault="00EE2448"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477408B8" w14:textId="1BC19DDC" w:rsidR="00686881" w:rsidRPr="00EE2448" w:rsidRDefault="00686881" w:rsidP="00EE2448">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EE2448">
        <w:rPr>
          <w:rFonts w:ascii="Times New Roman" w:eastAsia="Times New Roman" w:hAnsi="Times New Roman" w:cs="Times New Roman"/>
          <w:b/>
          <w:bCs/>
          <w:color w:val="000000"/>
          <w:sz w:val="24"/>
          <w:szCs w:val="24"/>
          <w:lang w:eastAsia="ru-RU"/>
        </w:rPr>
        <w:t>Даны разъяснения по вопросу защиты зданий, сооружений и помещений системами пожарной автоматики</w:t>
      </w:r>
    </w:p>
    <w:p w14:paraId="497F5D60" w14:textId="195DBC33" w:rsidR="00686881" w:rsidRPr="00686881" w:rsidRDefault="00EE2448"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w:t>
      </w:r>
      <w:r w:rsidRPr="00686881">
        <w:rPr>
          <w:rFonts w:ascii="Times New Roman" w:eastAsia="Times New Roman" w:hAnsi="Times New Roman" w:cs="Times New Roman"/>
          <w:color w:val="000000"/>
          <w:sz w:val="24"/>
          <w:szCs w:val="24"/>
          <w:lang w:eastAsia="ru-RU"/>
        </w:rPr>
        <w:t>исьм</w:t>
      </w:r>
      <w:r>
        <w:rPr>
          <w:rFonts w:ascii="Times New Roman" w:eastAsia="Times New Roman" w:hAnsi="Times New Roman" w:cs="Times New Roman"/>
          <w:color w:val="000000"/>
          <w:sz w:val="24"/>
          <w:szCs w:val="24"/>
          <w:lang w:eastAsia="ru-RU"/>
        </w:rPr>
        <w:t>е</w:t>
      </w:r>
      <w:r w:rsidRPr="00686881">
        <w:rPr>
          <w:rFonts w:ascii="Times New Roman" w:eastAsia="Times New Roman" w:hAnsi="Times New Roman" w:cs="Times New Roman"/>
          <w:color w:val="000000"/>
          <w:sz w:val="24"/>
          <w:szCs w:val="24"/>
          <w:lang w:eastAsia="ru-RU"/>
        </w:rPr>
        <w:t xml:space="preserve"> ФГБУ ВНИИПО МЧС России от 20.04.2026 N ИГ-117-729-13-5 "О рассмотрении обращения"</w:t>
      </w:r>
      <w:r>
        <w:rPr>
          <w:rFonts w:ascii="Times New Roman" w:eastAsia="Times New Roman" w:hAnsi="Times New Roman" w:cs="Times New Roman"/>
          <w:color w:val="000000"/>
          <w:sz w:val="24"/>
          <w:szCs w:val="24"/>
          <w:lang w:eastAsia="ru-RU"/>
        </w:rPr>
        <w:t xml:space="preserve"> с</w:t>
      </w:r>
      <w:r w:rsidR="00686881" w:rsidRPr="00686881">
        <w:rPr>
          <w:rFonts w:ascii="Times New Roman" w:eastAsia="Times New Roman" w:hAnsi="Times New Roman" w:cs="Times New Roman"/>
          <w:color w:val="000000"/>
          <w:sz w:val="24"/>
          <w:szCs w:val="24"/>
          <w:lang w:eastAsia="ru-RU"/>
        </w:rPr>
        <w:t>ообщается, что необходимость защиты зданий, сооружений и помещений системами пожарной автоматики, а также состав и тип оборудования указанных систем определяется проектной организацией на этапе проектирования или реконструкции в зависимости от технологических, конструктивных и объемно-планировочных особенностей объекта в соответствии с требованиями действующих на момент разработки проектной документации нормативных документов по пожарной безопасности с учетом опыта проектирования аналогичных объектов, а корректность принятых решений определяется на этапе проведения экспертизы проектной документации.</w:t>
      </w:r>
    </w:p>
    <w:p w14:paraId="362E003F"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На основании положений п. 4.4 СП 486.1311500.2020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помещения насосных водоснабжения, бойлерных, тепловых пунктов, помещения для инженерных коммуникаций водоснабжения и канализации не подлежат защите автоматическими установками пожаротушения и системой пожарной сигнализации.</w:t>
      </w:r>
    </w:p>
    <w:p w14:paraId="1DCC3898" w14:textId="3C09A02F" w:rsid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xml:space="preserve">Постановление Конституционного Суда РФ от 24.04.2026 N 27-П "По делу о проверке конституционности статей 111, 114 и части третьей статьи 133 Уголовно-процессуального </w:t>
      </w:r>
      <w:r w:rsidRPr="00686881">
        <w:rPr>
          <w:rFonts w:ascii="Times New Roman" w:eastAsia="Times New Roman" w:hAnsi="Times New Roman" w:cs="Times New Roman"/>
          <w:color w:val="000000"/>
          <w:sz w:val="24"/>
          <w:szCs w:val="24"/>
          <w:lang w:eastAsia="ru-RU"/>
        </w:rPr>
        <w:lastRenderedPageBreak/>
        <w:t>кодекса Российской Федерации в связи с жалобой гражданина Пономарева Павла Васильевича"</w:t>
      </w:r>
    </w:p>
    <w:p w14:paraId="5852F2A1" w14:textId="77777777" w:rsidR="00EE2448" w:rsidRPr="00686881" w:rsidRDefault="00EE2448"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3EA3F28A" w14:textId="77777777" w:rsidR="00686881" w:rsidRPr="00EE2448" w:rsidRDefault="00686881" w:rsidP="00EE2448">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EE2448">
        <w:rPr>
          <w:rFonts w:ascii="Times New Roman" w:eastAsia="Times New Roman" w:hAnsi="Times New Roman" w:cs="Times New Roman"/>
          <w:b/>
          <w:bCs/>
          <w:color w:val="000000"/>
          <w:sz w:val="24"/>
          <w:szCs w:val="24"/>
          <w:lang w:eastAsia="ru-RU"/>
        </w:rPr>
        <w:t>Конституционный Суд: вопрос о возможном причинении вреда при применении мер принуждения подлежит разрешению с учетом всей совокупности обстоятельств уголовного дела и итогового решения по нему</w:t>
      </w:r>
    </w:p>
    <w:p w14:paraId="329C7160"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Статьи 111, 114 и часть третья статьи 133 УПК РФ признаны не противоречащими Конституции РФ в той мере, в какой они по своему конституционно-правовому смыслу в системе действующего правового регулирования предполагают правомочие суда при отсутствии права осужденного на реабилитацию принять решение о возмещении ему имущественного вреда (утраченной заработной платы), причиненного его временным отстранением от должности вследствие подозрения в совершении преступления, подтвержденного впоследствии обвинительным приговором, при условии подтверждения в установленном законом порядке и с учетом конкретных обстоятельств уголовного дела незаконного и необоснованного применения указанной меры принуждения и установления обусловленности причинения осужденному имущественного вреда (утраты заработной платы) ее незаконностью и необоснованностью.</w:t>
      </w:r>
    </w:p>
    <w:p w14:paraId="36B6302A"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Конституционный Суд, в частности, указал, что, разрешая в порядке главы 18 УПК РФ вопрос о возможном возмещении вреда, причиненного временным отстранением от должности, суд обязан установить, причинен ли подозреваемому (обвиняемому) вред как таковой и обусловлен ли он необоснованным решением о возбуждении уголовного дела, притом что производство по уголовному делу по признакам того же преступления продолжено, а также признана ли в установленном порядке незаконность применения данной меры принуждения. Суду надлежит, в частности, оценить не только нарушение процессуальных норм, на основе которых применялось временное отстранение от должности, но и характер и значимость такого нарушения в контексте уголовного преследования, его влияние на производство по уголовному делу и устранение его в уголовном процессе, если таковое имело место. Содержательная оценка законности названной меры принуждения также предполагает установление того, была ли она необходимой и разумной (или, наоборот, напрасной) в конкретных обстоятельствах, послуживших основанием для ее применения.</w:t>
      </w:r>
    </w:p>
    <w:p w14:paraId="06628F42"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xml:space="preserve">При этом следует также исходить из того, что законом установлен единый процесс производства по уголовному делу (включая проверку сообщения о преступлении, возбуждение и расследование дела, порядок устранения процессуальных ошибок и применения мер процессуального принуждения, в том числе временного отстранения от должности), предметно и </w:t>
      </w:r>
      <w:proofErr w:type="spellStart"/>
      <w:r w:rsidRPr="00686881">
        <w:rPr>
          <w:rFonts w:ascii="Times New Roman" w:eastAsia="Times New Roman" w:hAnsi="Times New Roman" w:cs="Times New Roman"/>
          <w:color w:val="000000"/>
          <w:sz w:val="24"/>
          <w:szCs w:val="24"/>
          <w:lang w:eastAsia="ru-RU"/>
        </w:rPr>
        <w:t>сущностно</w:t>
      </w:r>
      <w:proofErr w:type="spellEnd"/>
      <w:r w:rsidRPr="00686881">
        <w:rPr>
          <w:rFonts w:ascii="Times New Roman" w:eastAsia="Times New Roman" w:hAnsi="Times New Roman" w:cs="Times New Roman"/>
          <w:color w:val="000000"/>
          <w:sz w:val="24"/>
          <w:szCs w:val="24"/>
          <w:lang w:eastAsia="ru-RU"/>
        </w:rPr>
        <w:t xml:space="preserve"> объединенный подлежащими доказыванию обстоятельствами, назначением уголовного судопроизводства, касающегося того же лица и события преступления. Законом установлены единые и равные гарантии обеспечения судебной защиты прав и свобод, реализуемые как при избрании судом меры процессуального принуждения в виде временного отстранения от должности, так и при последующей оценке законности и обоснованности ее применения.</w:t>
      </w:r>
    </w:p>
    <w:p w14:paraId="46425BA4" w14:textId="0132F63D"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xml:space="preserve">Постановление Конституционного Суда РФ от 24.04.2026 N 27-П "По делу о проверке конституционности статей 111, 114 и части третьей статьи 133 Уголовно-процессуального </w:t>
      </w:r>
      <w:r w:rsidRPr="00686881">
        <w:rPr>
          <w:rFonts w:ascii="Times New Roman" w:eastAsia="Times New Roman" w:hAnsi="Times New Roman" w:cs="Times New Roman"/>
          <w:color w:val="000000"/>
          <w:sz w:val="24"/>
          <w:szCs w:val="24"/>
          <w:lang w:eastAsia="ru-RU"/>
        </w:rPr>
        <w:lastRenderedPageBreak/>
        <w:t>кодекса Российской Федерации в связи с жалобой гражданина Пономарева Павла Васильевича"</w:t>
      </w:r>
    </w:p>
    <w:p w14:paraId="103A9CEB" w14:textId="77777777" w:rsidR="00686881" w:rsidRPr="00EE2448" w:rsidRDefault="00686881" w:rsidP="00EE2448">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EE2448">
        <w:rPr>
          <w:rFonts w:ascii="Times New Roman" w:eastAsia="Times New Roman" w:hAnsi="Times New Roman" w:cs="Times New Roman"/>
          <w:b/>
          <w:bCs/>
          <w:color w:val="000000"/>
          <w:sz w:val="24"/>
          <w:szCs w:val="24"/>
          <w:lang w:eastAsia="ru-RU"/>
        </w:rPr>
        <w:t>С 1 сентября 2026 г. устанавливаются требования к порядку оказания услуг по транспортированию, обезвреживанию медицинских отходов</w:t>
      </w:r>
    </w:p>
    <w:p w14:paraId="33A2ACE0" w14:textId="50FDF74F" w:rsidR="00686881" w:rsidRPr="00686881" w:rsidRDefault="00EE2448"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w:t>
      </w:r>
      <w:r w:rsidRPr="00686881">
        <w:rPr>
          <w:rFonts w:ascii="Times New Roman" w:eastAsia="Times New Roman" w:hAnsi="Times New Roman" w:cs="Times New Roman"/>
          <w:color w:val="000000"/>
          <w:sz w:val="24"/>
          <w:szCs w:val="24"/>
          <w:lang w:eastAsia="ru-RU"/>
        </w:rPr>
        <w:t>остановлени</w:t>
      </w:r>
      <w:r>
        <w:rPr>
          <w:rFonts w:ascii="Times New Roman" w:eastAsia="Times New Roman" w:hAnsi="Times New Roman" w:cs="Times New Roman"/>
          <w:color w:val="000000"/>
          <w:sz w:val="24"/>
          <w:szCs w:val="24"/>
          <w:lang w:eastAsia="ru-RU"/>
        </w:rPr>
        <w:t>и</w:t>
      </w:r>
      <w:r w:rsidRPr="00686881">
        <w:rPr>
          <w:rFonts w:ascii="Times New Roman" w:eastAsia="Times New Roman" w:hAnsi="Times New Roman" w:cs="Times New Roman"/>
          <w:color w:val="000000"/>
          <w:sz w:val="24"/>
          <w:szCs w:val="24"/>
          <w:lang w:eastAsia="ru-RU"/>
        </w:rPr>
        <w:t xml:space="preserve"> Правительства РФ от 30.04.2026 N 506 "Об утверждении требований к порядку оказания услуг по транспортированию, обезвреживанию медицинских отходов"</w:t>
      </w:r>
      <w:r>
        <w:rPr>
          <w:rFonts w:ascii="Times New Roman" w:eastAsia="Times New Roman" w:hAnsi="Times New Roman" w:cs="Times New Roman"/>
          <w:color w:val="000000"/>
          <w:sz w:val="24"/>
          <w:szCs w:val="24"/>
          <w:lang w:eastAsia="ru-RU"/>
        </w:rPr>
        <w:t xml:space="preserve"> речь </w:t>
      </w:r>
      <w:r w:rsidR="00686881" w:rsidRPr="00686881">
        <w:rPr>
          <w:rFonts w:ascii="Times New Roman" w:eastAsia="Times New Roman" w:hAnsi="Times New Roman" w:cs="Times New Roman"/>
          <w:color w:val="000000"/>
          <w:sz w:val="24"/>
          <w:szCs w:val="24"/>
          <w:lang w:eastAsia="ru-RU"/>
        </w:rPr>
        <w:t xml:space="preserve">идет о требованиях к порядку оказания услуг по транспортированию, обезвреживанию медицинских отходов классов "Б" и "В", а также медицинских отходов класса "Г", за исключением медицинских отходов класса "Г", предусмотренных перечнем медицинских отходов класса "Г", подобных по составу чрезвычайно опасным и </w:t>
      </w:r>
      <w:proofErr w:type="spellStart"/>
      <w:r w:rsidR="00686881" w:rsidRPr="00686881">
        <w:rPr>
          <w:rFonts w:ascii="Times New Roman" w:eastAsia="Times New Roman" w:hAnsi="Times New Roman" w:cs="Times New Roman"/>
          <w:color w:val="000000"/>
          <w:sz w:val="24"/>
          <w:szCs w:val="24"/>
          <w:lang w:eastAsia="ru-RU"/>
        </w:rPr>
        <w:t>высокоопасным</w:t>
      </w:r>
      <w:proofErr w:type="spellEnd"/>
      <w:r w:rsidR="00686881" w:rsidRPr="00686881">
        <w:rPr>
          <w:rFonts w:ascii="Times New Roman" w:eastAsia="Times New Roman" w:hAnsi="Times New Roman" w:cs="Times New Roman"/>
          <w:color w:val="000000"/>
          <w:sz w:val="24"/>
          <w:szCs w:val="24"/>
          <w:lang w:eastAsia="ru-RU"/>
        </w:rPr>
        <w:t xml:space="preserve"> отходам, утвержденным распоряжением Правительства РФ от 28 мая 2025 г. N 1354-р, включая требования к транспортным средствам, предназначенным для транспортирования медицинских отходов, к объектам и оборудованию (установкам), на которых осуществляется обезвреживание медицинских отходов (за исключением санитарно-эпидемиологических требований), к наличию средств измерений массы и (или) объема медицинских отходов.</w:t>
      </w:r>
    </w:p>
    <w:p w14:paraId="02CEEE7C"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Требования, утвержденные настоящим Постановлением, действуют до 1 сентября 2032 г.</w:t>
      </w:r>
    </w:p>
    <w:p w14:paraId="579FCE1B"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Постановление Правительства РФ от 30.04.2026 N 507 "Об утверждении Правил ремонта и содержания автомобильных дорог общего пользования федерального значения"</w:t>
      </w:r>
    </w:p>
    <w:p w14:paraId="28B2D175"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С 1 сентября 2026 г. вступают в силу новые правила ремонта и содержания автомобильных дорог общего пользования федерального значения</w:t>
      </w:r>
    </w:p>
    <w:p w14:paraId="6F1A3258"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Правилами определяются порядок организации и проведения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автомобильных дорог; по поддержанию надлежащего технического состояния автомобильных дорог, их диагностике (оценке технического состояния), а также по организации и обеспечению безопасности дорожного движения.</w:t>
      </w:r>
    </w:p>
    <w:p w14:paraId="5B0A46B0"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новой редакции, в частности, уточняется порядок утверждения программы дорожных работ, порядок разработки проектов по ремонту и содержанию, сметных расчетов, расчетов стоимости выполнения работ и прочее.</w:t>
      </w:r>
    </w:p>
    <w:p w14:paraId="3446BD5B"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Признается утратившим силу Постановление Правительства РФ от 26 октября 2020 г. N 1737, которым утверждены аналогичные правила.</w:t>
      </w:r>
    </w:p>
    <w:p w14:paraId="618134E2" w14:textId="77777777" w:rsidR="00686881" w:rsidRPr="00EE2448" w:rsidRDefault="00686881" w:rsidP="00EE2448">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EE2448">
        <w:rPr>
          <w:rFonts w:ascii="Times New Roman" w:eastAsia="Times New Roman" w:hAnsi="Times New Roman" w:cs="Times New Roman"/>
          <w:b/>
          <w:bCs/>
          <w:color w:val="000000"/>
          <w:sz w:val="24"/>
          <w:szCs w:val="24"/>
          <w:lang w:eastAsia="ru-RU"/>
        </w:rPr>
        <w:t>С 1 сентября 2026 г. вступают в силу новые правила ремонта и содержания автомобильных дорог общего пользования федерального значения</w:t>
      </w:r>
    </w:p>
    <w:p w14:paraId="34D6A36F" w14:textId="7A29B29A" w:rsidR="00686881" w:rsidRPr="00686881" w:rsidRDefault="00EE2448"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Постановлением</w:t>
      </w:r>
      <w:r w:rsidRPr="00686881">
        <w:rPr>
          <w:rFonts w:ascii="Times New Roman" w:eastAsia="Times New Roman" w:hAnsi="Times New Roman" w:cs="Times New Roman"/>
          <w:color w:val="000000"/>
          <w:sz w:val="24"/>
          <w:szCs w:val="24"/>
          <w:lang w:eastAsia="ru-RU"/>
        </w:rPr>
        <w:t xml:space="preserve"> Правительства РФ от 30.04.2026 N 507 "Об утверждении Правил ремонта и содержания автомобильных дорог общего пользования федерального значения</w:t>
      </w:r>
      <w:r>
        <w:rPr>
          <w:rFonts w:ascii="Times New Roman" w:eastAsia="Times New Roman" w:hAnsi="Times New Roman" w:cs="Times New Roman"/>
          <w:color w:val="000000"/>
          <w:sz w:val="24"/>
          <w:szCs w:val="24"/>
          <w:lang w:eastAsia="ru-RU"/>
        </w:rPr>
        <w:t>» определены</w:t>
      </w:r>
      <w:r w:rsidR="00686881" w:rsidRPr="00686881">
        <w:rPr>
          <w:rFonts w:ascii="Times New Roman" w:eastAsia="Times New Roman" w:hAnsi="Times New Roman" w:cs="Times New Roman"/>
          <w:color w:val="000000"/>
          <w:sz w:val="24"/>
          <w:szCs w:val="24"/>
          <w:lang w:eastAsia="ru-RU"/>
        </w:rPr>
        <w:t xml:space="preserve"> порядок организации и проведения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автомобильных дорог; по поддержанию надлежащего технического состояния </w:t>
      </w:r>
      <w:r w:rsidR="00686881" w:rsidRPr="00686881">
        <w:rPr>
          <w:rFonts w:ascii="Times New Roman" w:eastAsia="Times New Roman" w:hAnsi="Times New Roman" w:cs="Times New Roman"/>
          <w:color w:val="000000"/>
          <w:sz w:val="24"/>
          <w:szCs w:val="24"/>
          <w:lang w:eastAsia="ru-RU"/>
        </w:rPr>
        <w:lastRenderedPageBreak/>
        <w:t>автомобильных дорог, их диагностике (оценке технического состояния), а также по организации и обеспечению безопасности дорожного движения.</w:t>
      </w:r>
    </w:p>
    <w:p w14:paraId="2948B14B"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новой редакции, в частности, уточняется порядок утверждения программы дорожных работ, порядок разработки проектов по ремонту и содержанию, сметных расчетов, расчетов стоимости выполнения работ и прочее.</w:t>
      </w:r>
    </w:p>
    <w:p w14:paraId="64C64729"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Признается утратившим силу Постановление Правительства РФ от 26 октября 2020 г. N 1737, которым утверждены аналогичные правила.</w:t>
      </w:r>
    </w:p>
    <w:p w14:paraId="25A4E396"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41BBB65A" w14:textId="03328038" w:rsidR="00686881" w:rsidRPr="00EE2448" w:rsidRDefault="00686881" w:rsidP="00EE2448">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EE2448">
        <w:rPr>
          <w:rFonts w:ascii="Times New Roman" w:eastAsia="Times New Roman" w:hAnsi="Times New Roman" w:cs="Times New Roman"/>
          <w:b/>
          <w:bCs/>
          <w:color w:val="000000"/>
          <w:sz w:val="24"/>
          <w:szCs w:val="24"/>
          <w:lang w:eastAsia="ru-RU"/>
        </w:rPr>
        <w:t xml:space="preserve">Распоряжение Правительства РФ от 28.04.2026 N 985-р </w:t>
      </w:r>
      <w:r w:rsidR="00EE2448" w:rsidRPr="00EE2448">
        <w:rPr>
          <w:rFonts w:ascii="Times New Roman" w:eastAsia="Times New Roman" w:hAnsi="Times New Roman" w:cs="Times New Roman"/>
          <w:b/>
          <w:bCs/>
          <w:color w:val="000000"/>
          <w:sz w:val="24"/>
          <w:szCs w:val="24"/>
          <w:lang w:eastAsia="ru-RU"/>
        </w:rPr>
        <w:t>«</w:t>
      </w:r>
      <w:r w:rsidRPr="00EE2448">
        <w:rPr>
          <w:rFonts w:ascii="Times New Roman" w:eastAsia="Times New Roman" w:hAnsi="Times New Roman" w:cs="Times New Roman"/>
          <w:b/>
          <w:bCs/>
          <w:color w:val="000000"/>
          <w:sz w:val="24"/>
          <w:szCs w:val="24"/>
          <w:lang w:eastAsia="ru-RU"/>
        </w:rPr>
        <w:t>Об утверждении Концепции развития перевозок пассажиров железнодорожным транспортом общего пользования в пригородном сообщении до 2035 года</w:t>
      </w:r>
      <w:r w:rsidR="00EE2448" w:rsidRPr="00EE2448">
        <w:rPr>
          <w:rFonts w:ascii="Times New Roman" w:eastAsia="Times New Roman" w:hAnsi="Times New Roman" w:cs="Times New Roman"/>
          <w:b/>
          <w:bCs/>
          <w:color w:val="000000"/>
          <w:sz w:val="24"/>
          <w:szCs w:val="24"/>
          <w:lang w:eastAsia="ru-RU"/>
        </w:rPr>
        <w:t>»</w:t>
      </w:r>
    </w:p>
    <w:p w14:paraId="594F71C3" w14:textId="436D99C5"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Утверждена Концепция развития перевозок пассажиров железнодорожным транспортом общего пользования в пригородном сообщении до 2035 года</w:t>
      </w:r>
      <w:r w:rsidR="00EE2448">
        <w:rPr>
          <w:rFonts w:ascii="Times New Roman" w:eastAsia="Times New Roman" w:hAnsi="Times New Roman" w:cs="Times New Roman"/>
          <w:color w:val="000000"/>
          <w:sz w:val="24"/>
          <w:szCs w:val="24"/>
          <w:lang w:eastAsia="ru-RU"/>
        </w:rPr>
        <w:t>.</w:t>
      </w:r>
    </w:p>
    <w:p w14:paraId="57CC223A"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Целями развития перевозок пассажиров в пригородном сообщении до 2035 года являются: повышение пространственной связанности и транспортной доступности территорий субъектов РФ; повышение качества услуг, обеспечение комфортности, экологичности и безопасности перевозок пассажиров в пригородном сообщении при сохранении их ценовой доступности для населения; внедрение долгосрочных механизмов тарифного регулирования и финансирования перевозок пассажиров в пригородном сообщении.</w:t>
      </w:r>
    </w:p>
    <w:p w14:paraId="4D49E37C"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Реализацию Концепции планируется осуществить в 3 этапа:</w:t>
      </w:r>
    </w:p>
    <w:p w14:paraId="26A8F2C7"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на первом этапе (в период реализации Концепции) предусматривается обновление железнодорожного подвижного состава на ежегодной основе в объеме и в сроки, необходимые для обеспечения обязательств по выполнению перевозок пассажиров в пригородном сообщении;</w:t>
      </w:r>
    </w:p>
    <w:p w14:paraId="3A7670E5"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на втором этапе (с 2026 года по 2028 год) предусматривается:</w:t>
      </w:r>
    </w:p>
    <w:p w14:paraId="6CD5C84C"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формирование нормативной правовой и методической базы организации транспортного обслуживания, обеспечивающей в полном объеме компенсацию потерь в доходах перевозчиков, возникших в результате государственного регулирования тарифов в соответствии с законодательством о естественных монополиях;</w:t>
      </w:r>
    </w:p>
    <w:p w14:paraId="6071F3E8"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формирование программы обновления подвижного состава с учетом потребностей перевозчиков с определением источников финансирования и загрузки организаций транспортного машиностроения;</w:t>
      </w:r>
    </w:p>
    <w:p w14:paraId="0EA7057E"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 на третьем этапе (с 2028 года по 2030 год) предусматривается:</w:t>
      </w:r>
    </w:p>
    <w:p w14:paraId="388A7011"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разработка, верификация и утверждение долгосрочного транспортного заказа;</w:t>
      </w:r>
    </w:p>
    <w:p w14:paraId="31FA05FB"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размещение долгосрочных транспортных заказов посредством заключения долгосрочных договоров, предусматривающих компенсацию субъектами РФ в полном объеме потерь в доходах перевозчиков от государственного регулирования тарифов.</w:t>
      </w:r>
    </w:p>
    <w:p w14:paraId="5FC444CD"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lastRenderedPageBreak/>
        <w:t>Определены также задачи приоритетного направления развития перевозок пассажиров в пригородном сообщении, перспективы развития перевозок пассажиров в пригородном сообщении до 2035 года, механизмы реализации, меры государственной поддержки и финансовое обеспечение реализации Концепции и пр.</w:t>
      </w:r>
    </w:p>
    <w:p w14:paraId="0790456B"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В результате реализации Концепции к концу 2035 года планируется, в частности, обеспечить 100-процентную возможность продажи проездных документов (билетов) в электронном виде. Предполагается также, что объем перевозок пассажиров в пригородном сообщении на сети железных дорог вырастет не менее чем на 15 процентов.</w:t>
      </w:r>
    </w:p>
    <w:p w14:paraId="44C3BE49"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Признано утратившим силу распоряжение Правительства от 19 мая 2014 г. N 857-р.</w:t>
      </w:r>
    </w:p>
    <w:p w14:paraId="2467DB00" w14:textId="7777777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7BDDCD94" w14:textId="77777777" w:rsidR="00686881" w:rsidRPr="003542E9" w:rsidRDefault="00686881" w:rsidP="003542E9">
      <w:pPr>
        <w:shd w:val="clear" w:color="auto" w:fill="FFFFFF"/>
        <w:spacing w:after="240" w:line="300" w:lineRule="atLeast"/>
        <w:jc w:val="center"/>
        <w:rPr>
          <w:rFonts w:ascii="Times New Roman" w:eastAsia="Times New Roman" w:hAnsi="Times New Roman" w:cs="Times New Roman"/>
          <w:b/>
          <w:bCs/>
          <w:color w:val="000000"/>
          <w:sz w:val="24"/>
          <w:szCs w:val="24"/>
          <w:lang w:eastAsia="ru-RU"/>
        </w:rPr>
      </w:pPr>
      <w:r w:rsidRPr="003542E9">
        <w:rPr>
          <w:rFonts w:ascii="Times New Roman" w:eastAsia="Times New Roman" w:hAnsi="Times New Roman" w:cs="Times New Roman"/>
          <w:b/>
          <w:bCs/>
          <w:color w:val="000000"/>
          <w:sz w:val="24"/>
          <w:szCs w:val="24"/>
          <w:lang w:eastAsia="ru-RU"/>
        </w:rPr>
        <w:t>Определены дополнительные периоды службы, включаемые в выслугу лет в льготном исчислении, для назначения пенсий уволенным со службы военнослужащим силовых ведомств</w:t>
      </w:r>
    </w:p>
    <w:p w14:paraId="0724AA32" w14:textId="4E1660EF" w:rsidR="00686881" w:rsidRPr="00686881" w:rsidRDefault="003542E9"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w:t>
      </w:r>
      <w:r w:rsidRPr="00686881">
        <w:rPr>
          <w:rFonts w:ascii="Times New Roman" w:eastAsia="Times New Roman" w:hAnsi="Times New Roman" w:cs="Times New Roman"/>
          <w:color w:val="000000"/>
          <w:sz w:val="24"/>
          <w:szCs w:val="24"/>
          <w:lang w:eastAsia="ru-RU"/>
        </w:rPr>
        <w:t>остановлени</w:t>
      </w:r>
      <w:r>
        <w:rPr>
          <w:rFonts w:ascii="Times New Roman" w:eastAsia="Times New Roman" w:hAnsi="Times New Roman" w:cs="Times New Roman"/>
          <w:color w:val="000000"/>
          <w:sz w:val="24"/>
          <w:szCs w:val="24"/>
          <w:lang w:eastAsia="ru-RU"/>
        </w:rPr>
        <w:t>и</w:t>
      </w:r>
      <w:r w:rsidRPr="00686881">
        <w:rPr>
          <w:rFonts w:ascii="Times New Roman" w:eastAsia="Times New Roman" w:hAnsi="Times New Roman" w:cs="Times New Roman"/>
          <w:color w:val="000000"/>
          <w:sz w:val="24"/>
          <w:szCs w:val="24"/>
          <w:lang w:eastAsia="ru-RU"/>
        </w:rPr>
        <w:t xml:space="preserve"> Правительства РФ от 30.04.2026 N 511 "О внесении изменений в постановление Совета Министров - Правительства Российской Федерации от 22 сентября 1993 г. N 941"</w:t>
      </w:r>
      <w:r>
        <w:rPr>
          <w:rFonts w:ascii="Times New Roman" w:eastAsia="Times New Roman" w:hAnsi="Times New Roman" w:cs="Times New Roman"/>
          <w:color w:val="000000"/>
          <w:sz w:val="24"/>
          <w:szCs w:val="24"/>
          <w:lang w:eastAsia="ru-RU"/>
        </w:rPr>
        <w:t xml:space="preserve"> р</w:t>
      </w:r>
      <w:r w:rsidR="00686881" w:rsidRPr="00686881">
        <w:rPr>
          <w:rFonts w:ascii="Times New Roman" w:eastAsia="Times New Roman" w:hAnsi="Times New Roman" w:cs="Times New Roman"/>
          <w:color w:val="000000"/>
          <w:sz w:val="24"/>
          <w:szCs w:val="24"/>
          <w:lang w:eastAsia="ru-RU"/>
        </w:rPr>
        <w:t>ечь идет о периодах участия в боевых действиях лиц, пребывавших в добровольческих формированиях, а также времени непрерывного нахождения на лечении в госпиталях в случае получения ранения, контузии, увечья или заболевания в связи с участием в боевых действиях (выполнением задач контртеррористических операций).</w:t>
      </w:r>
    </w:p>
    <w:p w14:paraId="71C246A1" w14:textId="4B919767" w:rsidR="00686881" w:rsidRPr="00686881" w:rsidRDefault="00686881"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t>Также утверждена форма Справки о периодах пребывания в добровольческих формированиях, созданных в соответствии с Федеральным законом "Об обороне", подлежащих зачету в выслугу лет для назначения пенсии.</w:t>
      </w:r>
    </w:p>
    <w:p w14:paraId="7BB471D7" w14:textId="0AABEAFF" w:rsidR="006B6BBB" w:rsidRPr="006B6BBB" w:rsidRDefault="006B6BBB"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B6BBB">
        <w:rPr>
          <w:rFonts w:ascii="Times New Roman" w:eastAsia="Times New Roman" w:hAnsi="Times New Roman" w:cs="Times New Roman"/>
          <w:color w:val="000000"/>
          <w:sz w:val="24"/>
          <w:szCs w:val="24"/>
          <w:lang w:eastAsia="ru-RU"/>
        </w:rPr>
        <w:t>Утверждены:</w:t>
      </w:r>
    </w:p>
    <w:p w14:paraId="54802CE1" w14:textId="77777777" w:rsidR="006B6BBB" w:rsidRPr="006B6BBB" w:rsidRDefault="006B6BBB"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B6BBB">
        <w:rPr>
          <w:rFonts w:ascii="Times New Roman" w:eastAsia="Times New Roman" w:hAnsi="Times New Roman" w:cs="Times New Roman"/>
          <w:color w:val="000000"/>
          <w:sz w:val="24"/>
          <w:szCs w:val="24"/>
          <w:lang w:eastAsia="ru-RU"/>
        </w:rPr>
        <w:t>особенности установления степени утраты профессиональной трудоспособности в результате несчастных случаев на производстве и профессиональных заболеваний гражданами РФ, проживающими или проживавшими на территориях ДНР, ЛНР, Запорожской и Херсонской областей, иностранными гражданами и лицами без гражданства, проживающими или ранее проживавшими на указанных территориях и выехавшими за пределы указанных территорий в другие субъекты РФ;</w:t>
      </w:r>
    </w:p>
    <w:p w14:paraId="5446A39B" w14:textId="77777777" w:rsidR="006B6BBB" w:rsidRPr="006B6BBB" w:rsidRDefault="006B6BBB"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B6BBB">
        <w:rPr>
          <w:rFonts w:ascii="Times New Roman" w:eastAsia="Times New Roman" w:hAnsi="Times New Roman" w:cs="Times New Roman"/>
          <w:color w:val="000000"/>
          <w:sz w:val="24"/>
          <w:szCs w:val="24"/>
          <w:lang w:eastAsia="ru-RU"/>
        </w:rPr>
        <w:t>особенности установления степени утраты профессиональной трудоспособности в результате несчастных случаев на производстве и профессиональных заболеваний гражданами РФ, проживающими или проживавшими на территориях ДНР, ЛНР, Запорожской и Херсонской областей, иностранными гражданами и лицами без гражданства, проживающими или ранее проживавшими на указанных территориях, в федеральных учреждениях медико-социальной экспертизы на территориях ДНР, ЛНР, Запорожской и Херсонской областей в период с 1 января 2026 г. до 1 января 2028 г.</w:t>
      </w:r>
    </w:p>
    <w:p w14:paraId="71DD1607" w14:textId="0EAD22E7" w:rsidR="006B6BBB" w:rsidRPr="00686881" w:rsidRDefault="006B6BBB"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B6BBB">
        <w:rPr>
          <w:rFonts w:ascii="Times New Roman" w:eastAsia="Times New Roman" w:hAnsi="Times New Roman" w:cs="Times New Roman"/>
          <w:color w:val="000000"/>
          <w:sz w:val="24"/>
          <w:szCs w:val="24"/>
          <w:lang w:eastAsia="ru-RU"/>
        </w:rPr>
        <w:t>Настоящее постановление вступает в силу со дня его официального опубликования, распространяется на правоотношения, возникшие с 1 января 2026 г., и действует до 1 января 2028 г</w:t>
      </w:r>
      <w:r w:rsidRPr="00686881">
        <w:rPr>
          <w:rFonts w:ascii="Times New Roman" w:eastAsia="Times New Roman" w:hAnsi="Times New Roman" w:cs="Times New Roman"/>
          <w:color w:val="000000"/>
          <w:sz w:val="24"/>
          <w:szCs w:val="24"/>
          <w:lang w:eastAsia="ru-RU"/>
        </w:rPr>
        <w:t>.</w:t>
      </w:r>
    </w:p>
    <w:p w14:paraId="2320ABEC" w14:textId="37703275" w:rsidR="006B6BBB" w:rsidRPr="00686881" w:rsidRDefault="006B6BBB"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p>
    <w:p w14:paraId="3148AB41" w14:textId="77777777" w:rsidR="007D5EAE" w:rsidRPr="007D5EAE" w:rsidRDefault="007D5EAE" w:rsidP="003542E9">
      <w:pPr>
        <w:shd w:val="clear" w:color="auto" w:fill="FFFFFF"/>
        <w:spacing w:after="240" w:line="300" w:lineRule="atLeast"/>
        <w:jc w:val="center"/>
        <w:rPr>
          <w:rFonts w:ascii="Times New Roman" w:eastAsia="Times New Roman" w:hAnsi="Times New Roman" w:cs="Times New Roman"/>
          <w:color w:val="000000"/>
          <w:sz w:val="24"/>
          <w:szCs w:val="24"/>
          <w:lang w:eastAsia="ru-RU"/>
        </w:rPr>
      </w:pPr>
      <w:r w:rsidRPr="007D5EAE">
        <w:rPr>
          <w:rFonts w:ascii="Times New Roman" w:eastAsia="Times New Roman" w:hAnsi="Times New Roman" w:cs="Times New Roman"/>
          <w:b/>
          <w:bCs/>
          <w:color w:val="000000"/>
          <w:sz w:val="24"/>
          <w:szCs w:val="24"/>
          <w:lang w:eastAsia="ru-RU"/>
        </w:rPr>
        <w:t xml:space="preserve">Обновлен стандарт медицинской помощи взрослым при </w:t>
      </w:r>
      <w:proofErr w:type="spellStart"/>
      <w:r w:rsidRPr="007D5EAE">
        <w:rPr>
          <w:rFonts w:ascii="Times New Roman" w:eastAsia="Times New Roman" w:hAnsi="Times New Roman" w:cs="Times New Roman"/>
          <w:color w:val="000000"/>
          <w:sz w:val="24"/>
          <w:szCs w:val="24"/>
          <w:lang w:eastAsia="ru-RU"/>
        </w:rPr>
        <w:t>фолиеводефицитной</w:t>
      </w:r>
      <w:proofErr w:type="spellEnd"/>
      <w:r w:rsidRPr="007D5EAE">
        <w:rPr>
          <w:rFonts w:ascii="Times New Roman" w:eastAsia="Times New Roman" w:hAnsi="Times New Roman" w:cs="Times New Roman"/>
          <w:b/>
          <w:bCs/>
          <w:color w:val="000000"/>
          <w:sz w:val="24"/>
          <w:szCs w:val="24"/>
          <w:lang w:eastAsia="ru-RU"/>
        </w:rPr>
        <w:t xml:space="preserve"> анемии (диагностика, лечение и диспансерное наблюдение)</w:t>
      </w:r>
    </w:p>
    <w:p w14:paraId="4BDE9CFA" w14:textId="4B03BACB" w:rsidR="007D5EAE" w:rsidRPr="007D5EAE" w:rsidRDefault="003542E9" w:rsidP="00686881">
      <w:pPr>
        <w:shd w:val="clear" w:color="auto" w:fill="FFFFFF"/>
        <w:spacing w:after="240" w:line="300" w:lineRule="atLeast"/>
        <w:jc w:val="both"/>
        <w:rPr>
          <w:rFonts w:ascii="Times New Roman" w:eastAsia="Times New Roman" w:hAnsi="Times New Roman" w:cs="Times New Roman"/>
          <w:color w:val="000000" w:themeColor="text1"/>
          <w:sz w:val="24"/>
          <w:szCs w:val="24"/>
          <w:lang w:eastAsia="ru-RU"/>
        </w:rPr>
      </w:pPr>
      <w:r w:rsidRPr="003542E9">
        <w:rPr>
          <w:rFonts w:ascii="Times New Roman" w:eastAsia="Times New Roman" w:hAnsi="Times New Roman" w:cs="Times New Roman"/>
          <w:color w:val="000000" w:themeColor="text1"/>
          <w:sz w:val="24"/>
          <w:szCs w:val="24"/>
          <w:lang w:eastAsia="ru-RU"/>
        </w:rPr>
        <w:t>В п</w:t>
      </w:r>
      <w:r w:rsidRPr="007D5EAE">
        <w:rPr>
          <w:rFonts w:ascii="Times New Roman" w:eastAsia="Times New Roman" w:hAnsi="Times New Roman" w:cs="Times New Roman"/>
          <w:color w:val="000000" w:themeColor="text1"/>
          <w:sz w:val="24"/>
          <w:szCs w:val="24"/>
          <w:lang w:eastAsia="ru-RU"/>
        </w:rPr>
        <w:t>риказ</w:t>
      </w:r>
      <w:r w:rsidRPr="003542E9">
        <w:rPr>
          <w:rFonts w:ascii="Times New Roman" w:eastAsia="Times New Roman" w:hAnsi="Times New Roman" w:cs="Times New Roman"/>
          <w:color w:val="000000" w:themeColor="text1"/>
          <w:sz w:val="24"/>
          <w:szCs w:val="24"/>
          <w:lang w:eastAsia="ru-RU"/>
        </w:rPr>
        <w:t>е</w:t>
      </w:r>
      <w:r w:rsidRPr="007D5EAE">
        <w:rPr>
          <w:rFonts w:ascii="Times New Roman" w:eastAsia="Times New Roman" w:hAnsi="Times New Roman" w:cs="Times New Roman"/>
          <w:color w:val="000000" w:themeColor="text1"/>
          <w:sz w:val="24"/>
          <w:szCs w:val="24"/>
          <w:lang w:eastAsia="ru-RU"/>
        </w:rPr>
        <w:t xml:space="preserve"> Минздрава России от 10.03.2026 N 173н "Об утверждении стандарта медицинской помощи взрослым при </w:t>
      </w:r>
      <w:proofErr w:type="spellStart"/>
      <w:r w:rsidRPr="007D5EAE">
        <w:rPr>
          <w:rFonts w:ascii="Times New Roman" w:eastAsia="Times New Roman" w:hAnsi="Times New Roman" w:cs="Times New Roman"/>
          <w:color w:val="000000" w:themeColor="text1"/>
          <w:sz w:val="24"/>
          <w:szCs w:val="24"/>
          <w:lang w:eastAsia="ru-RU"/>
        </w:rPr>
        <w:t>фолиеводефицитной</w:t>
      </w:r>
      <w:proofErr w:type="spellEnd"/>
      <w:r w:rsidRPr="007D5EAE">
        <w:rPr>
          <w:rFonts w:ascii="Times New Roman" w:eastAsia="Times New Roman" w:hAnsi="Times New Roman" w:cs="Times New Roman"/>
          <w:color w:val="000000" w:themeColor="text1"/>
          <w:sz w:val="24"/>
          <w:szCs w:val="24"/>
          <w:lang w:eastAsia="ru-RU"/>
        </w:rPr>
        <w:t xml:space="preserve"> анемии (диагностика, лечение и диспансерное наблюдение)" Зарегистрировано в Минюсте России 14.04.2026 N 86035</w:t>
      </w:r>
      <w:r w:rsidRPr="003542E9">
        <w:rPr>
          <w:rFonts w:ascii="Times New Roman" w:eastAsia="Times New Roman" w:hAnsi="Times New Roman" w:cs="Times New Roman"/>
          <w:color w:val="000000" w:themeColor="text1"/>
          <w:sz w:val="24"/>
          <w:szCs w:val="24"/>
          <w:lang w:eastAsia="ru-RU"/>
        </w:rPr>
        <w:t>, с</w:t>
      </w:r>
      <w:r w:rsidR="007D5EAE" w:rsidRPr="007D5EAE">
        <w:rPr>
          <w:rFonts w:ascii="Times New Roman" w:eastAsia="Times New Roman" w:hAnsi="Times New Roman" w:cs="Times New Roman"/>
          <w:color w:val="000000" w:themeColor="text1"/>
          <w:sz w:val="24"/>
          <w:szCs w:val="24"/>
          <w:lang w:eastAsia="ru-RU"/>
        </w:rPr>
        <w:t>тандартом определены: медицинские услуги для диагностики заболевания, состояния; медицинские услуги для лечения заболевания, состояния и контроля за лечением; перечень лекарственных препаратов для медицинского применения, зарегистрированных на территории РФ, с указанием средних суточных и курсовых доз; виды лечебного питания, включая специализированные продукты лечебного питания, имеющие государственную регистрацию.</w:t>
      </w:r>
    </w:p>
    <w:p w14:paraId="22F4BFBE" w14:textId="4BF3863A" w:rsidR="007D5EAE" w:rsidRPr="003542E9" w:rsidRDefault="007D5EAE" w:rsidP="00686881">
      <w:pPr>
        <w:shd w:val="clear" w:color="auto" w:fill="FFFFFF"/>
        <w:spacing w:after="240" w:line="300" w:lineRule="atLeast"/>
        <w:jc w:val="both"/>
        <w:rPr>
          <w:rFonts w:ascii="Times New Roman" w:eastAsia="Times New Roman" w:hAnsi="Times New Roman" w:cs="Times New Roman"/>
          <w:color w:val="000000" w:themeColor="text1"/>
          <w:sz w:val="24"/>
          <w:szCs w:val="24"/>
          <w:lang w:eastAsia="ru-RU"/>
        </w:rPr>
      </w:pPr>
      <w:r w:rsidRPr="007D5EAE">
        <w:rPr>
          <w:rFonts w:ascii="Times New Roman" w:eastAsia="Times New Roman" w:hAnsi="Times New Roman" w:cs="Times New Roman"/>
          <w:color w:val="000000" w:themeColor="text1"/>
          <w:sz w:val="24"/>
          <w:szCs w:val="24"/>
          <w:lang w:eastAsia="ru-RU"/>
        </w:rPr>
        <w:t>Признается утратившим силу приказ Минздрава России от 24 января 2023 г. N 21н, которым утвержден аналогичный стандарт.</w:t>
      </w:r>
    </w:p>
    <w:p w14:paraId="282F84EE" w14:textId="5596A100" w:rsidR="00E23036" w:rsidRPr="00686881" w:rsidRDefault="00E23036" w:rsidP="00686881">
      <w:pPr>
        <w:pStyle w:val="doclink"/>
        <w:shd w:val="clear" w:color="auto" w:fill="FFFFFF"/>
        <w:spacing w:before="0" w:beforeAutospacing="0" w:after="240" w:afterAutospacing="0" w:line="300" w:lineRule="atLeast"/>
        <w:jc w:val="both"/>
        <w:rPr>
          <w:color w:val="000000"/>
        </w:rPr>
      </w:pPr>
    </w:p>
    <w:p w14:paraId="420B5B87" w14:textId="77777777" w:rsidR="00E23036" w:rsidRPr="00E23036" w:rsidRDefault="00E23036" w:rsidP="003542E9">
      <w:pPr>
        <w:shd w:val="clear" w:color="auto" w:fill="FFFFFF"/>
        <w:spacing w:after="240" w:line="300" w:lineRule="atLeast"/>
        <w:jc w:val="center"/>
        <w:rPr>
          <w:rFonts w:ascii="Times New Roman" w:eastAsia="Times New Roman" w:hAnsi="Times New Roman" w:cs="Times New Roman"/>
          <w:color w:val="000000"/>
          <w:sz w:val="24"/>
          <w:szCs w:val="24"/>
          <w:lang w:eastAsia="ru-RU"/>
        </w:rPr>
      </w:pPr>
      <w:r w:rsidRPr="00E23036">
        <w:rPr>
          <w:rFonts w:ascii="Times New Roman" w:eastAsia="Times New Roman" w:hAnsi="Times New Roman" w:cs="Times New Roman"/>
          <w:b/>
          <w:bCs/>
          <w:color w:val="000000"/>
          <w:sz w:val="24"/>
          <w:szCs w:val="24"/>
          <w:lang w:eastAsia="ru-RU"/>
        </w:rPr>
        <w:t>С 1 сентября 2026 г. устанавливаются требования к порядку оказания услуг по транспортированию, обезвреживанию медицинских отходов</w:t>
      </w:r>
    </w:p>
    <w:p w14:paraId="48C3254E" w14:textId="77777777" w:rsidR="00E23036" w:rsidRPr="00E23036" w:rsidRDefault="00E23036"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23036">
        <w:rPr>
          <w:rFonts w:ascii="Times New Roman" w:eastAsia="Times New Roman" w:hAnsi="Times New Roman" w:cs="Times New Roman"/>
          <w:color w:val="000000"/>
          <w:sz w:val="24"/>
          <w:szCs w:val="24"/>
          <w:lang w:eastAsia="ru-RU"/>
        </w:rPr>
        <w:t xml:space="preserve">Речь идет о требованиях к порядку оказания услуг по транспортированию, обезвреживанию медицинских отходов классов "Б" и "В", а также медицинских отходов класса "Г", за исключением медицинских отходов класса "Г", предусмотренных перечнем медицинских отходов класса "Г", подобных по составу чрезвычайно опасным и </w:t>
      </w:r>
      <w:proofErr w:type="spellStart"/>
      <w:r w:rsidRPr="00E23036">
        <w:rPr>
          <w:rFonts w:ascii="Times New Roman" w:eastAsia="Times New Roman" w:hAnsi="Times New Roman" w:cs="Times New Roman"/>
          <w:color w:val="000000"/>
          <w:sz w:val="24"/>
          <w:szCs w:val="24"/>
          <w:lang w:eastAsia="ru-RU"/>
        </w:rPr>
        <w:t>высокоопасным</w:t>
      </w:r>
      <w:proofErr w:type="spellEnd"/>
      <w:r w:rsidRPr="00E23036">
        <w:rPr>
          <w:rFonts w:ascii="Times New Roman" w:eastAsia="Times New Roman" w:hAnsi="Times New Roman" w:cs="Times New Roman"/>
          <w:color w:val="000000"/>
          <w:sz w:val="24"/>
          <w:szCs w:val="24"/>
          <w:lang w:eastAsia="ru-RU"/>
        </w:rPr>
        <w:t xml:space="preserve"> отходам, утвержденным распоряжением Правительства РФ от 28 мая 2025 г. N 1354-р, включая требования к транспортным средствам, предназначенным для транспортирования медицинских отходов, к объектам и оборудованию (установкам), на которых осуществляется обезвреживание медицинских отходов (за исключением санитарно-эпидемиологических требований), к наличию средств измерений массы и (или) объема медицинских отходов.</w:t>
      </w:r>
    </w:p>
    <w:p w14:paraId="017B0452" w14:textId="1D5A26A6" w:rsidR="00E23036" w:rsidRPr="00E23036" w:rsidRDefault="00E23036" w:rsidP="00686881">
      <w:pPr>
        <w:shd w:val="clear" w:color="auto" w:fill="FFFFFF"/>
        <w:spacing w:after="240" w:line="300" w:lineRule="atLeast"/>
        <w:jc w:val="both"/>
        <w:rPr>
          <w:rFonts w:ascii="Times New Roman" w:eastAsia="Times New Roman" w:hAnsi="Times New Roman" w:cs="Times New Roman"/>
          <w:color w:val="000000" w:themeColor="text1"/>
          <w:sz w:val="24"/>
          <w:szCs w:val="24"/>
          <w:lang w:eastAsia="ru-RU"/>
        </w:rPr>
      </w:pPr>
      <w:r w:rsidRPr="00E23036">
        <w:rPr>
          <w:rFonts w:ascii="Times New Roman" w:eastAsia="Times New Roman" w:hAnsi="Times New Roman" w:cs="Times New Roman"/>
          <w:color w:val="000000" w:themeColor="text1"/>
          <w:sz w:val="24"/>
          <w:szCs w:val="24"/>
          <w:lang w:eastAsia="ru-RU"/>
        </w:rPr>
        <w:t>Требования, утвержденные Постановлением</w:t>
      </w:r>
      <w:r w:rsidR="00D25728" w:rsidRPr="00D25728">
        <w:rPr>
          <w:rFonts w:ascii="Times New Roman" w:hAnsi="Times New Roman" w:cs="Times New Roman"/>
          <w:color w:val="000000" w:themeColor="text1"/>
          <w:sz w:val="24"/>
          <w:szCs w:val="24"/>
        </w:rPr>
        <w:t xml:space="preserve"> Правительства РФ от 30.04.2026 N 506 "Об утверждении требований к порядку оказания услуг по транспортированию, обезвреживанию медицинских отходов"</w:t>
      </w:r>
      <w:r w:rsidRPr="00E23036">
        <w:rPr>
          <w:rFonts w:ascii="Times New Roman" w:eastAsia="Times New Roman" w:hAnsi="Times New Roman" w:cs="Times New Roman"/>
          <w:color w:val="000000" w:themeColor="text1"/>
          <w:sz w:val="24"/>
          <w:szCs w:val="24"/>
          <w:lang w:eastAsia="ru-RU"/>
        </w:rPr>
        <w:t>, действуют до 1 сентября 2032 г.</w:t>
      </w:r>
    </w:p>
    <w:p w14:paraId="36ADC7DB" w14:textId="77777777" w:rsidR="00EF29ED" w:rsidRPr="00EF29ED" w:rsidRDefault="00EF29ED" w:rsidP="00D25728">
      <w:pPr>
        <w:shd w:val="clear" w:color="auto" w:fill="FFFFFF"/>
        <w:spacing w:after="240" w:line="300" w:lineRule="atLeast"/>
        <w:jc w:val="center"/>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b/>
          <w:bCs/>
          <w:color w:val="000000"/>
          <w:sz w:val="24"/>
          <w:szCs w:val="24"/>
          <w:lang w:eastAsia="ru-RU"/>
        </w:rPr>
        <w:t>С 1 сентября 2026 г. вступают в силу новые правила ремонта и содержания автомобильных дорог общего пользования федерального значения</w:t>
      </w:r>
    </w:p>
    <w:p w14:paraId="43D8ED8E"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Правилами определяются порядок организации и проведения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автомобильных дорог; по поддержанию надлежащего технического состояния автомобильных дорог, их диагностике (оценке технического состояния), а также по организации и обеспечению безопасности дорожного движения.</w:t>
      </w:r>
    </w:p>
    <w:p w14:paraId="741E47FC"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lastRenderedPageBreak/>
        <w:t>В новой редакции, в частности, уточняется порядок утверждения программы дорожных работ, порядок разработки проектов по ремонту и содержанию, сметных расчетов, расчетов стоимости выполнения работ и прочее.</w:t>
      </w:r>
    </w:p>
    <w:p w14:paraId="48BC81DC"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Признается утратившим силу Постановление Правительства РФ от 26 октября 2020 г. N 1737, которым утверждены аналогичные правила.</w:t>
      </w:r>
    </w:p>
    <w:p w14:paraId="49D5276A" w14:textId="49CB1A0A" w:rsidR="00EF29ED" w:rsidRPr="00686881" w:rsidRDefault="00EF29ED" w:rsidP="00686881">
      <w:pPr>
        <w:pStyle w:val="doclink"/>
        <w:shd w:val="clear" w:color="auto" w:fill="FFFFFF"/>
        <w:spacing w:before="0" w:beforeAutospacing="0" w:after="240" w:afterAutospacing="0" w:line="300" w:lineRule="atLeast"/>
        <w:jc w:val="both"/>
        <w:rPr>
          <w:color w:val="000000"/>
        </w:rPr>
      </w:pPr>
      <w:r w:rsidRPr="00686881">
        <w:rPr>
          <w:color w:val="000000"/>
        </w:rPr>
        <w:br/>
      </w:r>
    </w:p>
    <w:p w14:paraId="1155E4F4" w14:textId="77777777" w:rsidR="00EF29ED" w:rsidRPr="00EF29ED" w:rsidRDefault="00EF29ED" w:rsidP="00D25728">
      <w:pPr>
        <w:shd w:val="clear" w:color="auto" w:fill="FFFFFF"/>
        <w:spacing w:after="240" w:line="300" w:lineRule="atLeast"/>
        <w:jc w:val="center"/>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b/>
          <w:bCs/>
          <w:color w:val="000000"/>
          <w:sz w:val="24"/>
          <w:szCs w:val="24"/>
          <w:lang w:eastAsia="ru-RU"/>
        </w:rPr>
        <w:t>С 1 сентября 2026 г. вступают в силу новые правила ремонта и содержания автомобильных дорог общего пользования федерального значения</w:t>
      </w:r>
    </w:p>
    <w:p w14:paraId="273D1725" w14:textId="31106CC3"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Правилами</w:t>
      </w:r>
      <w:r w:rsidR="00D25728">
        <w:rPr>
          <w:rFonts w:ascii="Times New Roman" w:eastAsia="Times New Roman" w:hAnsi="Times New Roman" w:cs="Times New Roman"/>
          <w:color w:val="000000"/>
          <w:sz w:val="24"/>
          <w:szCs w:val="24"/>
          <w:lang w:eastAsia="ru-RU"/>
        </w:rPr>
        <w:t xml:space="preserve"> </w:t>
      </w:r>
      <w:hyperlink r:id="rId5" w:history="1">
        <w:r w:rsidR="00D25728" w:rsidRPr="00D25728">
          <w:rPr>
            <w:rFonts w:ascii="Times New Roman" w:eastAsia="Times New Roman" w:hAnsi="Times New Roman" w:cs="Times New Roman"/>
            <w:color w:val="000000"/>
            <w:sz w:val="24"/>
            <w:szCs w:val="24"/>
            <w:lang w:eastAsia="ru-RU"/>
          </w:rPr>
          <w:t>Постановлени</w:t>
        </w:r>
        <w:r w:rsidR="00D25728" w:rsidRPr="00D25728">
          <w:rPr>
            <w:rFonts w:ascii="Times New Roman" w:eastAsia="Times New Roman" w:hAnsi="Times New Roman" w:cs="Times New Roman"/>
            <w:color w:val="000000"/>
            <w:sz w:val="24"/>
            <w:szCs w:val="24"/>
            <w:lang w:eastAsia="ru-RU"/>
          </w:rPr>
          <w:t>я</w:t>
        </w:r>
        <w:r w:rsidR="00D25728" w:rsidRPr="00D25728">
          <w:rPr>
            <w:rFonts w:ascii="Times New Roman" w:eastAsia="Times New Roman" w:hAnsi="Times New Roman" w:cs="Times New Roman"/>
            <w:color w:val="000000"/>
            <w:sz w:val="24"/>
            <w:szCs w:val="24"/>
            <w:lang w:eastAsia="ru-RU"/>
          </w:rPr>
          <w:t xml:space="preserve"> Правительства РФ от 30.04.2026 N 507 "Об утверждении Правил ремонта и содержания автомобильных дорог общего пользования федерального значения"</w:t>
        </w:r>
      </w:hyperlink>
      <w:r w:rsidRPr="00EF29ED">
        <w:rPr>
          <w:rFonts w:ascii="Times New Roman" w:eastAsia="Times New Roman" w:hAnsi="Times New Roman" w:cs="Times New Roman"/>
          <w:color w:val="000000"/>
          <w:sz w:val="24"/>
          <w:szCs w:val="24"/>
          <w:lang w:eastAsia="ru-RU"/>
        </w:rPr>
        <w:t xml:space="preserve"> определяются порядок организации и проведения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автомобильных дорог; по поддержанию надлежащего технического состояния автомобильных дорог, их диагностике (оценке технического состояния), а также по организации и обеспечению безопасности дорожного движения.</w:t>
      </w:r>
    </w:p>
    <w:p w14:paraId="6DADAA40"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В новой редакции, в частности, уточняется порядок утверждения программы дорожных работ, порядок разработки проектов по ремонту и содержанию, сметных расчетов, расчетов стоимости выполнения работ и прочее.</w:t>
      </w:r>
    </w:p>
    <w:p w14:paraId="3A6941DA"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Признается утратившим силу Постановление Правительства РФ от 26 октября 2020 г. N 1737, которым утверждены аналогичные правила.</w:t>
      </w:r>
    </w:p>
    <w:p w14:paraId="004A57CE" w14:textId="7026ED1D" w:rsidR="00EF29ED" w:rsidRPr="00686881" w:rsidRDefault="00EF29ED" w:rsidP="00686881">
      <w:pPr>
        <w:pStyle w:val="doclink"/>
        <w:shd w:val="clear" w:color="auto" w:fill="FFFFFF"/>
        <w:spacing w:before="0" w:beforeAutospacing="0" w:after="240" w:afterAutospacing="0" w:line="300" w:lineRule="atLeast"/>
        <w:jc w:val="both"/>
        <w:rPr>
          <w:color w:val="000000"/>
        </w:rPr>
      </w:pPr>
    </w:p>
    <w:p w14:paraId="3F172838" w14:textId="77777777" w:rsidR="00EF29ED" w:rsidRPr="00EF29ED" w:rsidRDefault="00EF29ED" w:rsidP="00D25728">
      <w:pPr>
        <w:shd w:val="clear" w:color="auto" w:fill="FFFFFF"/>
        <w:spacing w:after="240" w:line="300" w:lineRule="atLeast"/>
        <w:jc w:val="center"/>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b/>
          <w:bCs/>
          <w:color w:val="000000"/>
          <w:sz w:val="24"/>
          <w:szCs w:val="24"/>
          <w:lang w:eastAsia="ru-RU"/>
        </w:rPr>
        <w:t>Утверждена Концепция развития перевозок пассажиров железнодорожным транспортом общего пользования в пригородном сообщении до 2035 года</w:t>
      </w:r>
    </w:p>
    <w:p w14:paraId="766EB087"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Целями развития перевозок пассажиров в пригородном сообщении до 2035 года являются: повышение пространственной связанности и транспортной доступности территорий субъектов РФ; повышение качества услуг, обеспечение комфортности, экологичности и безопасности перевозок пассажиров в пригородном сообщении при сохранении их ценовой доступности для населения; внедрение долгосрочных механизмов тарифного регулирования и финансирования перевозок пассажиров в пригородном сообщении.</w:t>
      </w:r>
    </w:p>
    <w:p w14:paraId="0F771E83"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Реализацию Концепции планируется осуществить в 3 этапа:</w:t>
      </w:r>
    </w:p>
    <w:p w14:paraId="67DA379E"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 на первом этапе (в период реализации Концепции) предусматривается обновление железнодорожного подвижного состава на ежегодной основе в объеме и в сроки, необходимые для обеспечения обязательств по выполнению перевозок пассажиров в пригородном сообщении;</w:t>
      </w:r>
    </w:p>
    <w:p w14:paraId="399492CC"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 на втором этапе (с 2026 года по 2028 год) предусматривается:</w:t>
      </w:r>
    </w:p>
    <w:p w14:paraId="13D07341"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lastRenderedPageBreak/>
        <w:t>формирование нормативной правовой и методической базы организации транспортного обслуживания, обеспечивающей в полном объеме компенсацию потерь в доходах перевозчиков, возникших в результате государственного регулирования тарифов в соответствии с законодательством о естественных монополиях;</w:t>
      </w:r>
    </w:p>
    <w:p w14:paraId="3EE2419B"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формирование программы обновления подвижного состава с учетом потребностей перевозчиков с определением источников финансирования и загрузки организаций транспортного машиностроения;</w:t>
      </w:r>
    </w:p>
    <w:p w14:paraId="08FBAB9B"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 на третьем этапе (с 2028 года по 2030 год) предусматривается:</w:t>
      </w:r>
    </w:p>
    <w:p w14:paraId="39F31A0C"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разработка, верификация и утверждение долгосрочного транспортного заказа;</w:t>
      </w:r>
    </w:p>
    <w:p w14:paraId="3E3B15CD"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размещение долгосрочных транспортных заказов посредством заключения долгосрочных договоров, предусматривающих компенсацию субъектами РФ в полном объеме потерь в доходах перевозчиков от государственного регулирования тарифов.</w:t>
      </w:r>
    </w:p>
    <w:p w14:paraId="7BC03256"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Определены также задачи приоритетного направления развития перевозок пассажиров в пригородном сообщении, перспективы развития перевозок пассажиров в пригородном сообщении до 2035 года, механизмы реализации, меры государственной поддержки и финансовое обеспечение реализации Концепции и пр.</w:t>
      </w:r>
    </w:p>
    <w:p w14:paraId="1757F76B"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В результате реализации Концепции к концу 2035 года планируется, в частности, обеспечить 100-процентную возможность продажи проездных документов (билетов) в электронном виде. Предполагается также, что объем перевозок пассажиров в пригородном сообщении на сети железных дорог вырастет не менее чем на 15 процентов.</w:t>
      </w:r>
    </w:p>
    <w:p w14:paraId="24BB862F"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Признано утратившим силу распоряжение Правительства от 19 мая 2014 г. N 857-р.</w:t>
      </w:r>
    </w:p>
    <w:p w14:paraId="5993D362" w14:textId="2752BA49" w:rsidR="00EF29ED" w:rsidRPr="00686881" w:rsidRDefault="00EF29ED" w:rsidP="00686881">
      <w:pPr>
        <w:pStyle w:val="doclink"/>
        <w:shd w:val="clear" w:color="auto" w:fill="FFFFFF"/>
        <w:spacing w:before="0" w:beforeAutospacing="0" w:after="240" w:afterAutospacing="0" w:line="300" w:lineRule="atLeast"/>
        <w:jc w:val="both"/>
        <w:rPr>
          <w:color w:val="000000"/>
        </w:rPr>
      </w:pPr>
    </w:p>
    <w:p w14:paraId="17214101" w14:textId="77777777" w:rsidR="00EF29ED" w:rsidRPr="00EF29ED" w:rsidRDefault="00EF29ED" w:rsidP="00D25728">
      <w:pPr>
        <w:shd w:val="clear" w:color="auto" w:fill="FFFFFF"/>
        <w:spacing w:after="240" w:line="300" w:lineRule="atLeast"/>
        <w:jc w:val="center"/>
        <w:rPr>
          <w:rFonts w:ascii="Times New Roman" w:eastAsia="Times New Roman" w:hAnsi="Times New Roman" w:cs="Times New Roman"/>
          <w:color w:val="000000" w:themeColor="text1"/>
          <w:sz w:val="24"/>
          <w:szCs w:val="24"/>
          <w:lang w:eastAsia="ru-RU"/>
        </w:rPr>
      </w:pPr>
      <w:r w:rsidRPr="00EF29ED">
        <w:rPr>
          <w:rFonts w:ascii="Times New Roman" w:eastAsia="Times New Roman" w:hAnsi="Times New Roman" w:cs="Times New Roman"/>
          <w:b/>
          <w:bCs/>
          <w:color w:val="000000"/>
          <w:sz w:val="24"/>
          <w:szCs w:val="24"/>
          <w:lang w:eastAsia="ru-RU"/>
        </w:rPr>
        <w:t xml:space="preserve">Определены дополнительные периоды службы, включаемые в выслугу лет в льготном исчислении, для назначения пенсий уволенным со службы </w:t>
      </w:r>
      <w:r w:rsidRPr="00EF29ED">
        <w:rPr>
          <w:rFonts w:ascii="Times New Roman" w:eastAsia="Times New Roman" w:hAnsi="Times New Roman" w:cs="Times New Roman"/>
          <w:b/>
          <w:bCs/>
          <w:color w:val="000000" w:themeColor="text1"/>
          <w:sz w:val="24"/>
          <w:szCs w:val="24"/>
          <w:lang w:eastAsia="ru-RU"/>
        </w:rPr>
        <w:t>военнослужащим силовых ведомств</w:t>
      </w:r>
    </w:p>
    <w:p w14:paraId="71C77424" w14:textId="7A8A833E" w:rsidR="00EF29ED" w:rsidRPr="00EF29ED" w:rsidRDefault="00D25728" w:rsidP="00D25728">
      <w:pPr>
        <w:pStyle w:val="doclink"/>
        <w:shd w:val="clear" w:color="auto" w:fill="FFFFFF"/>
        <w:spacing w:before="0" w:beforeAutospacing="0" w:after="240" w:afterAutospacing="0" w:line="300" w:lineRule="atLeast"/>
        <w:jc w:val="both"/>
        <w:rPr>
          <w:color w:val="000000" w:themeColor="text1"/>
        </w:rPr>
      </w:pPr>
      <w:r w:rsidRPr="00D25728">
        <w:rPr>
          <w:color w:val="000000" w:themeColor="text1"/>
        </w:rPr>
        <w:t>В п</w:t>
      </w:r>
      <w:r w:rsidRPr="00D25728">
        <w:rPr>
          <w:color w:val="000000" w:themeColor="text1"/>
        </w:rPr>
        <w:t>остановлени</w:t>
      </w:r>
      <w:r w:rsidRPr="00D25728">
        <w:rPr>
          <w:color w:val="000000" w:themeColor="text1"/>
        </w:rPr>
        <w:t>и</w:t>
      </w:r>
      <w:r w:rsidRPr="00D25728">
        <w:rPr>
          <w:color w:val="000000" w:themeColor="text1"/>
        </w:rPr>
        <w:t xml:space="preserve"> Правительства РФ от 30.04.2026 N 511 "О внесении изменений в постановление Совета Министров - Правительства Российской Федерации от 22 сентября 1993 г. N 941"</w:t>
      </w:r>
      <w:r>
        <w:rPr>
          <w:color w:val="000000" w:themeColor="text1"/>
        </w:rPr>
        <w:t xml:space="preserve"> р</w:t>
      </w:r>
      <w:r w:rsidR="00EF29ED" w:rsidRPr="00EF29ED">
        <w:rPr>
          <w:color w:val="000000"/>
        </w:rPr>
        <w:t>ечь идет о периодах участия в боевых действиях лиц, пребывавших в добровольческих формированиях, а также времени непрерывного нахождения на лечении в госпиталях в случае получения ранения, контузии, увечья или заболевания в связи с участием в боевых действиях (выполнением задач контртеррористических операций).</w:t>
      </w:r>
    </w:p>
    <w:p w14:paraId="0BBF6C70" w14:textId="77777777" w:rsidR="00EF29ED" w:rsidRPr="00EF29ED"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EF29ED">
        <w:rPr>
          <w:rFonts w:ascii="Times New Roman" w:eastAsia="Times New Roman" w:hAnsi="Times New Roman" w:cs="Times New Roman"/>
          <w:color w:val="000000"/>
          <w:sz w:val="24"/>
          <w:szCs w:val="24"/>
          <w:lang w:eastAsia="ru-RU"/>
        </w:rPr>
        <w:t>Также утверждена форма Справки о периодах пребывания в добровольческих формированиях, созданных в соответствии с Федеральным законом "Об обороне", подлежащих зачету в выслугу лет для назначения пенсии.</w:t>
      </w:r>
    </w:p>
    <w:p w14:paraId="48837105" w14:textId="589707BF" w:rsidR="00EA735D" w:rsidRPr="00686881" w:rsidRDefault="00EF29ED" w:rsidP="00686881">
      <w:pPr>
        <w:shd w:val="clear" w:color="auto" w:fill="FFFFFF"/>
        <w:spacing w:after="240" w:line="300" w:lineRule="atLeast"/>
        <w:jc w:val="both"/>
        <w:rPr>
          <w:rFonts w:ascii="Times New Roman" w:eastAsia="Times New Roman" w:hAnsi="Times New Roman" w:cs="Times New Roman"/>
          <w:color w:val="000000"/>
          <w:sz w:val="24"/>
          <w:szCs w:val="24"/>
          <w:lang w:eastAsia="ru-RU"/>
        </w:rPr>
      </w:pPr>
      <w:r w:rsidRPr="00686881">
        <w:rPr>
          <w:rFonts w:ascii="Times New Roman" w:eastAsia="Times New Roman" w:hAnsi="Times New Roman" w:cs="Times New Roman"/>
          <w:color w:val="000000"/>
          <w:sz w:val="24"/>
          <w:szCs w:val="24"/>
          <w:lang w:eastAsia="ru-RU"/>
        </w:rPr>
        <w:br/>
      </w:r>
    </w:p>
    <w:sectPr w:rsidR="00EA735D" w:rsidRPr="006868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T Sans">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B1716"/>
    <w:multiLevelType w:val="multilevel"/>
    <w:tmpl w:val="96E20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BB"/>
    <w:rsid w:val="000F254A"/>
    <w:rsid w:val="00285B94"/>
    <w:rsid w:val="002A26FF"/>
    <w:rsid w:val="003542E9"/>
    <w:rsid w:val="00406FCF"/>
    <w:rsid w:val="00686881"/>
    <w:rsid w:val="006A6AC5"/>
    <w:rsid w:val="006B6BBB"/>
    <w:rsid w:val="007D5EAE"/>
    <w:rsid w:val="00C77C0C"/>
    <w:rsid w:val="00D25728"/>
    <w:rsid w:val="00E23036"/>
    <w:rsid w:val="00EA735D"/>
    <w:rsid w:val="00EE2448"/>
    <w:rsid w:val="00EF2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50AB"/>
  <w15:chartTrackingRefBased/>
  <w15:docId w15:val="{928213AF-7F28-4B9A-9A6E-800EAC36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686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6FCF"/>
    <w:pPr>
      <w:spacing w:after="0" w:line="360" w:lineRule="auto"/>
      <w:jc w:val="center"/>
    </w:pPr>
    <w:rPr>
      <w:rFonts w:ascii="Times New Roman" w:hAnsi="Times New Roman"/>
      <w:b/>
      <w:sz w:val="28"/>
    </w:rPr>
  </w:style>
  <w:style w:type="paragraph" w:customStyle="1" w:styleId="paragraph">
    <w:name w:val="paragraph"/>
    <w:basedOn w:val="a"/>
    <w:rsid w:val="006B6B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B6BBB"/>
    <w:rPr>
      <w:color w:val="0000FF"/>
      <w:u w:val="single"/>
    </w:rPr>
  </w:style>
  <w:style w:type="paragraph" w:styleId="a5">
    <w:name w:val="Normal (Web)"/>
    <w:basedOn w:val="a"/>
    <w:uiPriority w:val="99"/>
    <w:semiHidden/>
    <w:unhideWhenUsed/>
    <w:rsid w:val="006B6B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link">
    <w:name w:val="doc_link"/>
    <w:basedOn w:val="a"/>
    <w:rsid w:val="007D5E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D5EAE"/>
    <w:rPr>
      <w:b/>
      <w:bCs/>
    </w:rPr>
  </w:style>
  <w:style w:type="character" w:customStyle="1" w:styleId="10">
    <w:name w:val="Заголовок 1 Знак"/>
    <w:basedOn w:val="a0"/>
    <w:link w:val="1"/>
    <w:uiPriority w:val="9"/>
    <w:rsid w:val="0068688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0993">
      <w:bodyDiv w:val="1"/>
      <w:marLeft w:val="0"/>
      <w:marRight w:val="0"/>
      <w:marTop w:val="0"/>
      <w:marBottom w:val="0"/>
      <w:divBdr>
        <w:top w:val="none" w:sz="0" w:space="0" w:color="auto"/>
        <w:left w:val="none" w:sz="0" w:space="0" w:color="auto"/>
        <w:bottom w:val="none" w:sz="0" w:space="0" w:color="auto"/>
        <w:right w:val="none" w:sz="0" w:space="0" w:color="auto"/>
      </w:divBdr>
    </w:div>
    <w:div w:id="192499148">
      <w:bodyDiv w:val="1"/>
      <w:marLeft w:val="0"/>
      <w:marRight w:val="0"/>
      <w:marTop w:val="0"/>
      <w:marBottom w:val="0"/>
      <w:divBdr>
        <w:top w:val="none" w:sz="0" w:space="0" w:color="auto"/>
        <w:left w:val="none" w:sz="0" w:space="0" w:color="auto"/>
        <w:bottom w:val="none" w:sz="0" w:space="0" w:color="auto"/>
        <w:right w:val="none" w:sz="0" w:space="0" w:color="auto"/>
      </w:divBdr>
    </w:div>
    <w:div w:id="208342360">
      <w:bodyDiv w:val="1"/>
      <w:marLeft w:val="0"/>
      <w:marRight w:val="0"/>
      <w:marTop w:val="0"/>
      <w:marBottom w:val="0"/>
      <w:divBdr>
        <w:top w:val="none" w:sz="0" w:space="0" w:color="auto"/>
        <w:left w:val="none" w:sz="0" w:space="0" w:color="auto"/>
        <w:bottom w:val="none" w:sz="0" w:space="0" w:color="auto"/>
        <w:right w:val="none" w:sz="0" w:space="0" w:color="auto"/>
      </w:divBdr>
    </w:div>
    <w:div w:id="310985344">
      <w:bodyDiv w:val="1"/>
      <w:marLeft w:val="0"/>
      <w:marRight w:val="0"/>
      <w:marTop w:val="0"/>
      <w:marBottom w:val="0"/>
      <w:divBdr>
        <w:top w:val="none" w:sz="0" w:space="0" w:color="auto"/>
        <w:left w:val="none" w:sz="0" w:space="0" w:color="auto"/>
        <w:bottom w:val="none" w:sz="0" w:space="0" w:color="auto"/>
        <w:right w:val="none" w:sz="0" w:space="0" w:color="auto"/>
      </w:divBdr>
    </w:div>
    <w:div w:id="524901930">
      <w:bodyDiv w:val="1"/>
      <w:marLeft w:val="0"/>
      <w:marRight w:val="0"/>
      <w:marTop w:val="0"/>
      <w:marBottom w:val="0"/>
      <w:divBdr>
        <w:top w:val="none" w:sz="0" w:space="0" w:color="auto"/>
        <w:left w:val="none" w:sz="0" w:space="0" w:color="auto"/>
        <w:bottom w:val="none" w:sz="0" w:space="0" w:color="auto"/>
        <w:right w:val="none" w:sz="0" w:space="0" w:color="auto"/>
      </w:divBdr>
    </w:div>
    <w:div w:id="529800700">
      <w:bodyDiv w:val="1"/>
      <w:marLeft w:val="0"/>
      <w:marRight w:val="0"/>
      <w:marTop w:val="0"/>
      <w:marBottom w:val="0"/>
      <w:divBdr>
        <w:top w:val="none" w:sz="0" w:space="0" w:color="auto"/>
        <w:left w:val="none" w:sz="0" w:space="0" w:color="auto"/>
        <w:bottom w:val="none" w:sz="0" w:space="0" w:color="auto"/>
        <w:right w:val="none" w:sz="0" w:space="0" w:color="auto"/>
      </w:divBdr>
    </w:div>
    <w:div w:id="596643942">
      <w:bodyDiv w:val="1"/>
      <w:marLeft w:val="0"/>
      <w:marRight w:val="0"/>
      <w:marTop w:val="0"/>
      <w:marBottom w:val="0"/>
      <w:divBdr>
        <w:top w:val="none" w:sz="0" w:space="0" w:color="auto"/>
        <w:left w:val="none" w:sz="0" w:space="0" w:color="auto"/>
        <w:bottom w:val="none" w:sz="0" w:space="0" w:color="auto"/>
        <w:right w:val="none" w:sz="0" w:space="0" w:color="auto"/>
      </w:divBdr>
    </w:div>
    <w:div w:id="612633871">
      <w:bodyDiv w:val="1"/>
      <w:marLeft w:val="0"/>
      <w:marRight w:val="0"/>
      <w:marTop w:val="0"/>
      <w:marBottom w:val="0"/>
      <w:divBdr>
        <w:top w:val="none" w:sz="0" w:space="0" w:color="auto"/>
        <w:left w:val="none" w:sz="0" w:space="0" w:color="auto"/>
        <w:bottom w:val="none" w:sz="0" w:space="0" w:color="auto"/>
        <w:right w:val="none" w:sz="0" w:space="0" w:color="auto"/>
      </w:divBdr>
    </w:div>
    <w:div w:id="624121266">
      <w:bodyDiv w:val="1"/>
      <w:marLeft w:val="0"/>
      <w:marRight w:val="0"/>
      <w:marTop w:val="0"/>
      <w:marBottom w:val="0"/>
      <w:divBdr>
        <w:top w:val="none" w:sz="0" w:space="0" w:color="auto"/>
        <w:left w:val="none" w:sz="0" w:space="0" w:color="auto"/>
        <w:bottom w:val="none" w:sz="0" w:space="0" w:color="auto"/>
        <w:right w:val="none" w:sz="0" w:space="0" w:color="auto"/>
      </w:divBdr>
    </w:div>
    <w:div w:id="749813350">
      <w:bodyDiv w:val="1"/>
      <w:marLeft w:val="0"/>
      <w:marRight w:val="0"/>
      <w:marTop w:val="0"/>
      <w:marBottom w:val="0"/>
      <w:divBdr>
        <w:top w:val="none" w:sz="0" w:space="0" w:color="auto"/>
        <w:left w:val="none" w:sz="0" w:space="0" w:color="auto"/>
        <w:bottom w:val="none" w:sz="0" w:space="0" w:color="auto"/>
        <w:right w:val="none" w:sz="0" w:space="0" w:color="auto"/>
      </w:divBdr>
    </w:div>
    <w:div w:id="816070570">
      <w:bodyDiv w:val="1"/>
      <w:marLeft w:val="0"/>
      <w:marRight w:val="0"/>
      <w:marTop w:val="0"/>
      <w:marBottom w:val="0"/>
      <w:divBdr>
        <w:top w:val="none" w:sz="0" w:space="0" w:color="auto"/>
        <w:left w:val="none" w:sz="0" w:space="0" w:color="auto"/>
        <w:bottom w:val="none" w:sz="0" w:space="0" w:color="auto"/>
        <w:right w:val="none" w:sz="0" w:space="0" w:color="auto"/>
      </w:divBdr>
    </w:div>
    <w:div w:id="845052756">
      <w:bodyDiv w:val="1"/>
      <w:marLeft w:val="0"/>
      <w:marRight w:val="0"/>
      <w:marTop w:val="0"/>
      <w:marBottom w:val="0"/>
      <w:divBdr>
        <w:top w:val="none" w:sz="0" w:space="0" w:color="auto"/>
        <w:left w:val="none" w:sz="0" w:space="0" w:color="auto"/>
        <w:bottom w:val="none" w:sz="0" w:space="0" w:color="auto"/>
        <w:right w:val="none" w:sz="0" w:space="0" w:color="auto"/>
      </w:divBdr>
    </w:div>
    <w:div w:id="893465832">
      <w:bodyDiv w:val="1"/>
      <w:marLeft w:val="0"/>
      <w:marRight w:val="0"/>
      <w:marTop w:val="0"/>
      <w:marBottom w:val="0"/>
      <w:divBdr>
        <w:top w:val="none" w:sz="0" w:space="0" w:color="auto"/>
        <w:left w:val="none" w:sz="0" w:space="0" w:color="auto"/>
        <w:bottom w:val="none" w:sz="0" w:space="0" w:color="auto"/>
        <w:right w:val="none" w:sz="0" w:space="0" w:color="auto"/>
      </w:divBdr>
    </w:div>
    <w:div w:id="950894444">
      <w:bodyDiv w:val="1"/>
      <w:marLeft w:val="0"/>
      <w:marRight w:val="0"/>
      <w:marTop w:val="0"/>
      <w:marBottom w:val="0"/>
      <w:divBdr>
        <w:top w:val="none" w:sz="0" w:space="0" w:color="auto"/>
        <w:left w:val="none" w:sz="0" w:space="0" w:color="auto"/>
        <w:bottom w:val="none" w:sz="0" w:space="0" w:color="auto"/>
        <w:right w:val="none" w:sz="0" w:space="0" w:color="auto"/>
      </w:divBdr>
    </w:div>
    <w:div w:id="1030689243">
      <w:bodyDiv w:val="1"/>
      <w:marLeft w:val="0"/>
      <w:marRight w:val="0"/>
      <w:marTop w:val="0"/>
      <w:marBottom w:val="0"/>
      <w:divBdr>
        <w:top w:val="none" w:sz="0" w:space="0" w:color="auto"/>
        <w:left w:val="none" w:sz="0" w:space="0" w:color="auto"/>
        <w:bottom w:val="none" w:sz="0" w:space="0" w:color="auto"/>
        <w:right w:val="none" w:sz="0" w:space="0" w:color="auto"/>
      </w:divBdr>
    </w:div>
    <w:div w:id="1066881009">
      <w:bodyDiv w:val="1"/>
      <w:marLeft w:val="0"/>
      <w:marRight w:val="0"/>
      <w:marTop w:val="0"/>
      <w:marBottom w:val="0"/>
      <w:divBdr>
        <w:top w:val="none" w:sz="0" w:space="0" w:color="auto"/>
        <w:left w:val="none" w:sz="0" w:space="0" w:color="auto"/>
        <w:bottom w:val="none" w:sz="0" w:space="0" w:color="auto"/>
        <w:right w:val="none" w:sz="0" w:space="0" w:color="auto"/>
      </w:divBdr>
    </w:div>
    <w:div w:id="1262301356">
      <w:bodyDiv w:val="1"/>
      <w:marLeft w:val="0"/>
      <w:marRight w:val="0"/>
      <w:marTop w:val="0"/>
      <w:marBottom w:val="0"/>
      <w:divBdr>
        <w:top w:val="none" w:sz="0" w:space="0" w:color="auto"/>
        <w:left w:val="none" w:sz="0" w:space="0" w:color="auto"/>
        <w:bottom w:val="none" w:sz="0" w:space="0" w:color="auto"/>
        <w:right w:val="none" w:sz="0" w:space="0" w:color="auto"/>
      </w:divBdr>
    </w:div>
    <w:div w:id="1328360967">
      <w:bodyDiv w:val="1"/>
      <w:marLeft w:val="0"/>
      <w:marRight w:val="0"/>
      <w:marTop w:val="0"/>
      <w:marBottom w:val="0"/>
      <w:divBdr>
        <w:top w:val="none" w:sz="0" w:space="0" w:color="auto"/>
        <w:left w:val="none" w:sz="0" w:space="0" w:color="auto"/>
        <w:bottom w:val="none" w:sz="0" w:space="0" w:color="auto"/>
        <w:right w:val="none" w:sz="0" w:space="0" w:color="auto"/>
      </w:divBdr>
    </w:div>
    <w:div w:id="1461343515">
      <w:bodyDiv w:val="1"/>
      <w:marLeft w:val="0"/>
      <w:marRight w:val="0"/>
      <w:marTop w:val="0"/>
      <w:marBottom w:val="0"/>
      <w:divBdr>
        <w:top w:val="none" w:sz="0" w:space="0" w:color="auto"/>
        <w:left w:val="none" w:sz="0" w:space="0" w:color="auto"/>
        <w:bottom w:val="none" w:sz="0" w:space="0" w:color="auto"/>
        <w:right w:val="none" w:sz="0" w:space="0" w:color="auto"/>
      </w:divBdr>
    </w:div>
    <w:div w:id="1469935042">
      <w:bodyDiv w:val="1"/>
      <w:marLeft w:val="0"/>
      <w:marRight w:val="0"/>
      <w:marTop w:val="0"/>
      <w:marBottom w:val="0"/>
      <w:divBdr>
        <w:top w:val="none" w:sz="0" w:space="0" w:color="auto"/>
        <w:left w:val="none" w:sz="0" w:space="0" w:color="auto"/>
        <w:bottom w:val="none" w:sz="0" w:space="0" w:color="auto"/>
        <w:right w:val="none" w:sz="0" w:space="0" w:color="auto"/>
      </w:divBdr>
    </w:div>
    <w:div w:id="1473673653">
      <w:bodyDiv w:val="1"/>
      <w:marLeft w:val="0"/>
      <w:marRight w:val="0"/>
      <w:marTop w:val="0"/>
      <w:marBottom w:val="0"/>
      <w:divBdr>
        <w:top w:val="none" w:sz="0" w:space="0" w:color="auto"/>
        <w:left w:val="none" w:sz="0" w:space="0" w:color="auto"/>
        <w:bottom w:val="none" w:sz="0" w:space="0" w:color="auto"/>
        <w:right w:val="none" w:sz="0" w:space="0" w:color="auto"/>
      </w:divBdr>
    </w:div>
    <w:div w:id="1597404833">
      <w:bodyDiv w:val="1"/>
      <w:marLeft w:val="0"/>
      <w:marRight w:val="0"/>
      <w:marTop w:val="0"/>
      <w:marBottom w:val="0"/>
      <w:divBdr>
        <w:top w:val="none" w:sz="0" w:space="0" w:color="auto"/>
        <w:left w:val="none" w:sz="0" w:space="0" w:color="auto"/>
        <w:bottom w:val="none" w:sz="0" w:space="0" w:color="auto"/>
        <w:right w:val="none" w:sz="0" w:space="0" w:color="auto"/>
      </w:divBdr>
    </w:div>
    <w:div w:id="1609577126">
      <w:bodyDiv w:val="1"/>
      <w:marLeft w:val="0"/>
      <w:marRight w:val="0"/>
      <w:marTop w:val="0"/>
      <w:marBottom w:val="0"/>
      <w:divBdr>
        <w:top w:val="none" w:sz="0" w:space="0" w:color="auto"/>
        <w:left w:val="none" w:sz="0" w:space="0" w:color="auto"/>
        <w:bottom w:val="none" w:sz="0" w:space="0" w:color="auto"/>
        <w:right w:val="none" w:sz="0" w:space="0" w:color="auto"/>
      </w:divBdr>
    </w:div>
    <w:div w:id="1694453030">
      <w:bodyDiv w:val="1"/>
      <w:marLeft w:val="0"/>
      <w:marRight w:val="0"/>
      <w:marTop w:val="0"/>
      <w:marBottom w:val="0"/>
      <w:divBdr>
        <w:top w:val="none" w:sz="0" w:space="0" w:color="auto"/>
        <w:left w:val="none" w:sz="0" w:space="0" w:color="auto"/>
        <w:bottom w:val="none" w:sz="0" w:space="0" w:color="auto"/>
        <w:right w:val="none" w:sz="0" w:space="0" w:color="auto"/>
      </w:divBdr>
    </w:div>
    <w:div w:id="1768381679">
      <w:bodyDiv w:val="1"/>
      <w:marLeft w:val="0"/>
      <w:marRight w:val="0"/>
      <w:marTop w:val="0"/>
      <w:marBottom w:val="0"/>
      <w:divBdr>
        <w:top w:val="none" w:sz="0" w:space="0" w:color="auto"/>
        <w:left w:val="none" w:sz="0" w:space="0" w:color="auto"/>
        <w:bottom w:val="none" w:sz="0" w:space="0" w:color="auto"/>
        <w:right w:val="none" w:sz="0" w:space="0" w:color="auto"/>
      </w:divBdr>
    </w:div>
    <w:div w:id="1854025917">
      <w:bodyDiv w:val="1"/>
      <w:marLeft w:val="0"/>
      <w:marRight w:val="0"/>
      <w:marTop w:val="0"/>
      <w:marBottom w:val="0"/>
      <w:divBdr>
        <w:top w:val="none" w:sz="0" w:space="0" w:color="auto"/>
        <w:left w:val="none" w:sz="0" w:space="0" w:color="auto"/>
        <w:bottom w:val="none" w:sz="0" w:space="0" w:color="auto"/>
        <w:right w:val="none" w:sz="0" w:space="0" w:color="auto"/>
      </w:divBdr>
    </w:div>
    <w:div w:id="1855146673">
      <w:bodyDiv w:val="1"/>
      <w:marLeft w:val="0"/>
      <w:marRight w:val="0"/>
      <w:marTop w:val="0"/>
      <w:marBottom w:val="0"/>
      <w:divBdr>
        <w:top w:val="none" w:sz="0" w:space="0" w:color="auto"/>
        <w:left w:val="none" w:sz="0" w:space="0" w:color="auto"/>
        <w:bottom w:val="none" w:sz="0" w:space="0" w:color="auto"/>
        <w:right w:val="none" w:sz="0" w:space="0" w:color="auto"/>
      </w:divBdr>
    </w:div>
    <w:div w:id="2034526603">
      <w:bodyDiv w:val="1"/>
      <w:marLeft w:val="0"/>
      <w:marRight w:val="0"/>
      <w:marTop w:val="0"/>
      <w:marBottom w:val="0"/>
      <w:divBdr>
        <w:top w:val="none" w:sz="0" w:space="0" w:color="auto"/>
        <w:left w:val="none" w:sz="0" w:space="0" w:color="auto"/>
        <w:bottom w:val="none" w:sz="0" w:space="0" w:color="auto"/>
        <w:right w:val="none" w:sz="0" w:space="0" w:color="auto"/>
      </w:divBdr>
    </w:div>
    <w:div w:id="210456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5336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6232</Words>
  <Characters>35523</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Ангелина Самохина</dc:creator>
  <cp:keywords/>
  <dc:description/>
  <cp:lastModifiedBy>Ангелина Самохина</cp:lastModifiedBy>
  <cp:revision>2</cp:revision>
  <dcterms:created xsi:type="dcterms:W3CDTF">2026-05-11T17:14:00Z</dcterms:created>
  <dcterms:modified xsi:type="dcterms:W3CDTF">2026-05-11T18:28:00Z</dcterms:modified>
</cp:coreProperties>
</file>