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65" w:rsidRDefault="009D5BE9">
      <w:r>
        <w:rPr>
          <w:rFonts w:ascii="Times New Roman" w:hAnsi="Times New Roman" w:cs="Times New Roman"/>
          <w:sz w:val="24"/>
          <w:szCs w:val="24"/>
        </w:rPr>
        <w:t>В связи со ст. 27 Федерального закона от 13.12.1996 «Об оружии» в связи с нарушением правил хранения оружия, аннулировании лицензии и др. оружие может быть изъято у его собственника. Прокуратура города на постоянной основе обращается в суд с заявлениями о признании оружия бесхозяйным имуществом, если изъятое оружие хранится на складе служб войск национальной гвардии РФ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FA"/>
    <w:rsid w:val="00166365"/>
    <w:rsid w:val="003C2CFA"/>
    <w:rsid w:val="009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F97FD-F950-4BB1-A574-6F5CF0BA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2024-06-26T08:26:00Z</dcterms:created>
  <dcterms:modified xsi:type="dcterms:W3CDTF">2024-06-26T08:26:00Z</dcterms:modified>
</cp:coreProperties>
</file>