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709"/>
        <w:rPr>
          <w:b w:val="1"/>
        </w:rPr>
      </w:pPr>
      <w:r>
        <w:rPr>
          <w:b w:val="1"/>
        </w:rPr>
        <w:t xml:space="preserve">Внесены масштабные изменения в Закон о банкротстве. Вводится новая процедура банкротства - реструктуризация долгов юридического лица. </w:t>
      </w:r>
    </w:p>
    <w:p w14:paraId="02000000">
      <w:pPr>
        <w:pStyle w:val="Style_1"/>
        <w:ind w:firstLine="709"/>
      </w:pPr>
      <w:r>
        <w:t xml:space="preserve">Согласно внесенным поправкам, под реструктуризацией долгов понимается реабилитационная процедура, применяемая в деле о банкротстве к должнику - юридическому лицу в целях восстановления его платежеспособности и урегулирования его задолженности перед кредиторами в соответствии с планом реструктуризации долгов. </w:t>
      </w:r>
    </w:p>
    <w:p w14:paraId="03000000">
      <w:pPr>
        <w:pStyle w:val="Style_1"/>
        <w:ind w:firstLine="709"/>
      </w:pPr>
      <w:r>
        <w:t xml:space="preserve">Проводить реструктуризацию долгов будет антикризисный управляющий, которого утвердит арбитражный суд. Реструктуризация долгов будет вводиться по заявлению должника, конкурсного кредитора и ряда иных лиц либо на основании решения первого собрания кредиторов в ходе наблюдения. Кроме этого, законом: </w:t>
      </w:r>
    </w:p>
    <w:p w14:paraId="04000000">
      <w:pPr>
        <w:pStyle w:val="Style_1"/>
        <w:ind w:firstLine="709"/>
      </w:pPr>
      <w:r>
        <w:t xml:space="preserve"> -закреплены положения о заключении должником с кредиторами соглашения о санации, предусмотрена возможность заключения комплексного соглашения о санации;</w:t>
      </w:r>
    </w:p>
    <w:p w14:paraId="05000000">
      <w:pPr>
        <w:pStyle w:val="Style_1"/>
        <w:ind w:firstLine="709"/>
      </w:pPr>
      <w:r>
        <w:t xml:space="preserve"> -устанавливается разделение должников на три группы в зависимости от их дохода и активов, также на три группы подразделяются СРО арбитражных управляющих (в зависимости от размера сформированного компенсационного фонда); </w:t>
      </w:r>
    </w:p>
    <w:p w14:paraId="06000000">
      <w:pPr>
        <w:pStyle w:val="Style_1"/>
        <w:ind w:firstLine="709"/>
      </w:pPr>
      <w:r>
        <w:t xml:space="preserve">-предусмотрено создание регистра арбитражных управляющих, а также вводятся расчет баллов результативности арбитражных управляющих и </w:t>
      </w:r>
      <w:r>
        <w:t>саморегулируемых организаций и механизм случайного выбора арбитражного управляющего.</w:t>
      </w:r>
    </w:p>
    <w:p w14:paraId="07000000">
      <w:pPr>
        <w:pStyle w:val="Style_1"/>
      </w:pPr>
    </w:p>
    <w:p w14:paraId="08000000">
      <w:pPr>
        <w:pStyle w:val="Style_1"/>
      </w:pPr>
      <w:r>
        <w:t>разъяснение подготовила помощник прокурора Самохина А.А.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2026-08-06T17:13:17Z</dcterms:created>
  <dcterms:modified xsi:type="dcterms:W3CDTF">2026-08-06T17:13:17Z</dcterms:modified>
</cp:coreProperties>
</file>