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ПЭ-ЭС/25-1818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г.о. Электросталь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Российская Федерация, Московская область, городской округ Электросталь, город Электросталь, улица Спортивная, дом 14, помещение 5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00200190102424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05.05.2025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09.09.2025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11.09.2025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11.09.2025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ПЭ-ЭС/25-1818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г.о. Электросталь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Российская Федерация, Московская область, городской округ Электросталь, город Электросталь, улица Спортивная, дом 14, помещение 5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75651D" w:rsidRDefault="00F57D57" w:rsidP="00F57D57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75651D" w:rsidRPr="0075651D"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05.05.2025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09.09.2025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09.09.2025 в 17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11.09.2025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11.09.2025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11.09.2025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