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4C7FE8">
      <w:r>
        <w:rPr>
          <w:rFonts w:ascii="Times New Roman" w:hAnsi="Times New Roman" w:cs="Times New Roman"/>
          <w:sz w:val="24"/>
          <w:szCs w:val="24"/>
        </w:rPr>
        <w:t>Постановка на учет иностранных граждан в жилых помещениях, если проживание таковых граждан по месту регистрации не предусмотрена, влечет привлечение к ответственности по ст. 322 УК РФ. В случае, если лицом, совершившим постановку иностранного гражданина на учет, взимаются с указанных лиц денежные средства, такие денежные средства взыскиваются с последних в порядке гражданского производства в доход Российской Федерации. В 2024 году прокуратурой города в суд направлено 3 исковых заявления в указанной сфере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96"/>
    <w:rsid w:val="00166365"/>
    <w:rsid w:val="004C7FE8"/>
    <w:rsid w:val="006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3766-2085-4D10-B502-00F97EE0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2024-06-26T08:28:00Z</dcterms:created>
  <dcterms:modified xsi:type="dcterms:W3CDTF">2024-06-26T08:28:00Z</dcterms:modified>
</cp:coreProperties>
</file>