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FE" w:rsidRDefault="00B60AFE" w:rsidP="00B60AFE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7864">
        <w:rPr>
          <w:rFonts w:ascii="Times New Roman" w:hAnsi="Times New Roman" w:cs="Times New Roman"/>
          <w:sz w:val="28"/>
          <w:szCs w:val="28"/>
        </w:rPr>
        <w:t xml:space="preserve">Можно ли уволить вдову ветерана боевых действий? </w:t>
      </w:r>
    </w:p>
    <w:bookmarkEnd w:id="0"/>
    <w:p w:rsidR="00B60AFE" w:rsidRPr="00707864" w:rsidRDefault="00B60AFE" w:rsidP="00B60AF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0AFE" w:rsidRPr="00707864" w:rsidRDefault="00B60AFE" w:rsidP="00B60AFE">
      <w:pPr>
        <w:pStyle w:val="a3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дополнен новой статьей о гарантиях супругам погибшего или умершего ветерана боевых действий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8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>ст. 264.1), запрещающей расторгать трудовой договор по инициативе работодателя в течение года с момента гибели с теми из них, кто не вступил в повторный брак. Вместе с тем, предусмотрен ряд исключений, допускающих увольнение данной категории работников по инициативе работодателя. В частности, работника могут уволить в случае ликвидации организации, грубого нарушения трудовых обязанностей, предоставления при заключении трудового договора подложных документов и некоторых других случаях, перечисленных в названной выше норме закона.</w:t>
      </w:r>
    </w:p>
    <w:p w:rsidR="00B60AFE" w:rsidRDefault="00B60AFE" w:rsidP="00B60AFE">
      <w:pPr>
        <w:rPr>
          <w:rFonts w:ascii="Times New Roman" w:hAnsi="Times New Roman" w:cs="Times New Roman"/>
          <w:sz w:val="28"/>
          <w:szCs w:val="28"/>
        </w:rPr>
      </w:pPr>
    </w:p>
    <w:p w:rsidR="00B60AFE" w:rsidRDefault="00B60AFE" w:rsidP="00B60AF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Разъяснения подготов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старшим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B60AFE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9"/>
    <w:rsid w:val="000128F6"/>
    <w:rsid w:val="003F7689"/>
    <w:rsid w:val="005D4DFF"/>
    <w:rsid w:val="00B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7D41E-13F7-421B-9DD2-704F4366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F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AF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60AFE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2024-07-22T14:42:00Z</dcterms:created>
  <dcterms:modified xsi:type="dcterms:W3CDTF">2024-07-22T14:42:00Z</dcterms:modified>
</cp:coreProperties>
</file>