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B66BB6" w:rsidP="00562A13">
      <w:pPr>
        <w:ind w:left="-1560" w:right="-567"/>
        <w:contextualSpacing/>
        <w:jc w:val="center"/>
        <w:rPr>
          <w:b/>
          <w:sz w:val="28"/>
        </w:rPr>
      </w:pPr>
      <w:r>
        <w:rPr>
          <w:b/>
          <w:sz w:val="28"/>
        </w:rPr>
        <w:t xml:space="preserve">АДМИНИСТРАЦИЯ </w:t>
      </w:r>
      <w:r w:rsidR="00562A13" w:rsidRPr="00562A13">
        <w:rPr>
          <w:b/>
          <w:sz w:val="28"/>
        </w:rPr>
        <w:t>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562A13" w:rsidP="00562A13">
      <w:pPr>
        <w:ind w:left="-1560" w:right="-567"/>
        <w:jc w:val="center"/>
        <w:outlineLvl w:val="0"/>
      </w:pPr>
      <w:r w:rsidRPr="00562A13">
        <w:t xml:space="preserve">  ________________ № ___________</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bookmarkStart w:id="0" w:name="_GoBack"/>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bCs/>
        </w:rPr>
        <w:t>»</w:t>
      </w:r>
      <w:bookmarkEnd w:id="0"/>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w:t>
      </w:r>
      <w:r w:rsidR="002347CA">
        <w:rPr>
          <w:rFonts w:cs="Times New Roman"/>
        </w:rPr>
        <w:t xml:space="preserve">и </w:t>
      </w:r>
      <w:r w:rsidR="00106E42">
        <w:rPr>
          <w:rFonts w:cs="Times New Roman"/>
        </w:rPr>
        <w:t>от 17.10.2017 №863/38, решением</w:t>
      </w:r>
      <w:r w:rsidRPr="00582623">
        <w:rPr>
          <w:rFonts w:cs="Times New Roman"/>
        </w:rPr>
        <w:t xml:space="preserve">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w:t>
      </w:r>
      <w:r w:rsidR="00106E42">
        <w:rPr>
          <w:rFonts w:cs="Times New Roman"/>
        </w:rPr>
        <w:t>решением</w:t>
      </w:r>
      <w:r w:rsidR="00106E42" w:rsidRPr="00582623">
        <w:rPr>
          <w:rFonts w:cs="Times New Roman"/>
        </w:rPr>
        <w:t xml:space="preserve"> Совета депутатов городского округа Электросталь Московской области</w:t>
      </w:r>
      <w:r w:rsidR="00106E42">
        <w:rPr>
          <w:rFonts w:cs="Times New Roman"/>
        </w:rPr>
        <w:t xml:space="preserve"> </w:t>
      </w:r>
      <w:r w:rsidR="002347CA">
        <w:rPr>
          <w:rFonts w:cs="Times New Roman"/>
        </w:rPr>
        <w:t>от 03.02.2022 №115/24 «О приобретении имущества теплоэнергетического комплекса»</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2E5D37">
        <w:rPr>
          <w:rFonts w:cs="Times New Roman"/>
        </w:rPr>
        <w:t>от 01.02.2022 №</w:t>
      </w:r>
      <w:r w:rsidR="00576447" w:rsidRPr="002E5D37">
        <w:rPr>
          <w:rFonts w:cs="Times New Roman"/>
        </w:rPr>
        <w:t xml:space="preserve"> 91/2</w:t>
      </w:r>
      <w:r w:rsidR="009020E8">
        <w:rPr>
          <w:rFonts w:cs="Times New Roman"/>
        </w:rPr>
        <w:t xml:space="preserve"> </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5C04A5" w:rsidRDefault="005C04A5" w:rsidP="00884E31">
      <w:pPr>
        <w:spacing w:line="200" w:lineRule="exact"/>
        <w:rPr>
          <w:rFonts w:cs="Times New Roman"/>
        </w:rPr>
      </w:pPr>
    </w:p>
    <w:p w:rsidR="005C04A5" w:rsidRDefault="005C04A5" w:rsidP="00884E31">
      <w:pPr>
        <w:spacing w:line="200" w:lineRule="exact"/>
        <w:rPr>
          <w:rFonts w:cs="Times New Roman"/>
        </w:rPr>
      </w:pPr>
    </w:p>
    <w:p w:rsidR="00141443" w:rsidRPr="005C04A5" w:rsidRDefault="00141443" w:rsidP="00884E31">
      <w:pPr>
        <w:spacing w:line="200" w:lineRule="exact"/>
        <w:rPr>
          <w:rFonts w:cs="Times New Roman"/>
        </w:rPr>
      </w:pPr>
    </w:p>
    <w:p w:rsidR="00141443" w:rsidRPr="00106E42" w:rsidRDefault="00C56358" w:rsidP="00884E31">
      <w:pPr>
        <w:spacing w:line="200" w:lineRule="exact"/>
        <w:rPr>
          <w:rFonts w:cs="Times New Roman"/>
        </w:rPr>
      </w:pPr>
      <w:r w:rsidRPr="00C56358">
        <w:rPr>
          <w:rFonts w:cs="Times New Roman"/>
        </w:rPr>
        <w:t>Глава городского округа                                                                                              И.Ю. Волкова</w:t>
      </w:r>
    </w:p>
    <w:p w:rsidR="001105A8" w:rsidRDefault="001105A8" w:rsidP="00884E31">
      <w:pPr>
        <w:spacing w:line="200" w:lineRule="exact"/>
        <w:rPr>
          <w:rFonts w:cs="Times New Roman"/>
          <w:sz w:val="23"/>
          <w:szCs w:val="23"/>
        </w:rPr>
      </w:pPr>
    </w:p>
    <w:p w:rsidR="001105A8" w:rsidRDefault="001105A8" w:rsidP="00884E31">
      <w:pPr>
        <w:spacing w:line="200" w:lineRule="exact"/>
        <w:rPr>
          <w:rFonts w:cs="Times New Roman"/>
          <w:sz w:val="23"/>
          <w:szCs w:val="23"/>
        </w:rPr>
      </w:pPr>
    </w:p>
    <w:p w:rsidR="00A11606" w:rsidRPr="000B1A0D" w:rsidRDefault="00A11606" w:rsidP="00884E31">
      <w:pPr>
        <w:spacing w:line="200" w:lineRule="exact"/>
        <w:rPr>
          <w:rFonts w:cs="Times New Roman"/>
          <w:sz w:val="23"/>
          <w:szCs w:val="23"/>
        </w:rPr>
        <w:sectPr w:rsidR="00A11606" w:rsidRPr="000B1A0D" w:rsidSect="001105A8">
          <w:pgSz w:w="11906" w:h="16838"/>
          <w:pgMar w:top="1276"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AD790F" w:rsidP="003563AF">
      <w:pPr>
        <w:jc w:val="right"/>
      </w:pPr>
      <w:r>
        <w:rPr>
          <w:noProof/>
        </w:rPr>
        <mc:AlternateContent>
          <mc:Choice Requires="wps">
            <w:drawing>
              <wp:anchor distT="0" distB="0" distL="114300" distR="114300" simplePos="0" relativeHeight="251660288" behindDoc="0" locked="0" layoutInCell="1" allowOverlap="1">
                <wp:simplePos x="0" y="0"/>
                <wp:positionH relativeFrom="column">
                  <wp:posOffset>5059680</wp:posOffset>
                </wp:positionH>
                <wp:positionV relativeFrom="paragraph">
                  <wp:posOffset>89535</wp:posOffset>
                </wp:positionV>
                <wp:extent cx="4227195" cy="30295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3029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898" w:rsidRDefault="00C51898" w:rsidP="003563AF">
                            <w:r>
                              <w:t>Приложение</w:t>
                            </w:r>
                          </w:p>
                          <w:p w:rsidR="00C51898" w:rsidRDefault="00C51898" w:rsidP="003563AF">
                            <w:r>
                              <w:t>к постановлению Администрации</w:t>
                            </w:r>
                          </w:p>
                          <w:p w:rsidR="00C51898" w:rsidRDefault="00C51898" w:rsidP="003563AF">
                            <w:r>
                              <w:t xml:space="preserve">городского округа Электросталь </w:t>
                            </w:r>
                          </w:p>
                          <w:p w:rsidR="00C51898" w:rsidRDefault="00C51898" w:rsidP="003563AF">
                            <w:r>
                              <w:t>Московской области</w:t>
                            </w:r>
                          </w:p>
                          <w:p w:rsidR="00C51898" w:rsidRDefault="00C51898" w:rsidP="003563AF">
                            <w:r>
                              <w:t xml:space="preserve">от _______________ </w:t>
                            </w:r>
                            <w:proofErr w:type="gramStart"/>
                            <w:r>
                              <w:t>№  _</w:t>
                            </w:r>
                            <w:proofErr w:type="gramEnd"/>
                            <w:r>
                              <w:t>______________</w:t>
                            </w:r>
                          </w:p>
                          <w:p w:rsidR="00C51898" w:rsidRDefault="00C51898" w:rsidP="003563AF"/>
                          <w:p w:rsidR="00C51898" w:rsidRPr="00886628" w:rsidRDefault="00C51898" w:rsidP="003563AF">
                            <w:r>
                              <w:t>«</w:t>
                            </w:r>
                            <w:r w:rsidRPr="00886628">
                              <w:t>УТВЕРЖДЕНА</w:t>
                            </w:r>
                          </w:p>
                          <w:p w:rsidR="00C51898" w:rsidRPr="00886628" w:rsidRDefault="00C51898" w:rsidP="003563AF">
                            <w:r w:rsidRPr="00886628">
                              <w:t>постановлением Администрации</w:t>
                            </w:r>
                          </w:p>
                          <w:p w:rsidR="00C51898" w:rsidRPr="00886628" w:rsidRDefault="00C51898" w:rsidP="003563AF">
                            <w:r w:rsidRPr="00886628">
                              <w:t>городского округа Электросталь</w:t>
                            </w:r>
                          </w:p>
                          <w:p w:rsidR="00C51898" w:rsidRPr="00886628" w:rsidRDefault="00C51898" w:rsidP="003563AF">
                            <w:r w:rsidRPr="00886628">
                              <w:t xml:space="preserve">Московской области </w:t>
                            </w:r>
                          </w:p>
                          <w:p w:rsidR="00C51898" w:rsidRDefault="00C51898" w:rsidP="003563AF">
                            <w:r w:rsidRPr="00886628">
                              <w:t>13.12.2019 № 948/12</w:t>
                            </w:r>
                          </w:p>
                          <w:p w:rsidR="00C51898" w:rsidRPr="00886628" w:rsidRDefault="00C5189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4931A1">
                              <w:rPr>
                                <w:rFonts w:cs="Times New Roman"/>
                              </w:rPr>
                              <w:t>от 01.02.2022 №91/2</w:t>
                            </w:r>
                            <w:r w:rsidRPr="004931A1">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" stroked="f">
                <v:fill opacity="0"/>
                <v:textbox inset=".5mm,.5mm,.5mm,.5mm">
                  <w:txbxContent>
                    <w:p w:rsidR="00C51898" w:rsidRDefault="00C51898" w:rsidP="003563AF">
                      <w:r>
                        <w:t>Приложение</w:t>
                      </w:r>
                    </w:p>
                    <w:p w:rsidR="00C51898" w:rsidRDefault="00C51898" w:rsidP="003563AF">
                      <w:r>
                        <w:t>к постановлению Администрации</w:t>
                      </w:r>
                    </w:p>
                    <w:p w:rsidR="00C51898" w:rsidRDefault="00C51898" w:rsidP="003563AF">
                      <w:r>
                        <w:t xml:space="preserve">городского округа Электросталь </w:t>
                      </w:r>
                    </w:p>
                    <w:p w:rsidR="00C51898" w:rsidRDefault="00C51898" w:rsidP="003563AF">
                      <w:r>
                        <w:t>Московской области</w:t>
                      </w:r>
                    </w:p>
                    <w:p w:rsidR="00C51898" w:rsidRDefault="00C51898" w:rsidP="003563AF">
                      <w:r>
                        <w:t xml:space="preserve">от _______________ </w:t>
                      </w:r>
                      <w:proofErr w:type="gramStart"/>
                      <w:r>
                        <w:t>№  _</w:t>
                      </w:r>
                      <w:proofErr w:type="gramEnd"/>
                      <w:r>
                        <w:t>______________</w:t>
                      </w:r>
                    </w:p>
                    <w:p w:rsidR="00C51898" w:rsidRDefault="00C51898" w:rsidP="003563AF"/>
                    <w:p w:rsidR="00C51898" w:rsidRPr="00886628" w:rsidRDefault="00C51898" w:rsidP="003563AF">
                      <w:r>
                        <w:t>«</w:t>
                      </w:r>
                      <w:r w:rsidRPr="00886628">
                        <w:t>УТВЕРЖДЕНА</w:t>
                      </w:r>
                    </w:p>
                    <w:p w:rsidR="00C51898" w:rsidRPr="00886628" w:rsidRDefault="00C51898" w:rsidP="003563AF">
                      <w:r w:rsidRPr="00886628">
                        <w:t>постановлением Администрации</w:t>
                      </w:r>
                    </w:p>
                    <w:p w:rsidR="00C51898" w:rsidRPr="00886628" w:rsidRDefault="00C51898" w:rsidP="003563AF">
                      <w:r w:rsidRPr="00886628">
                        <w:t>городского округа Электросталь</w:t>
                      </w:r>
                    </w:p>
                    <w:p w:rsidR="00C51898" w:rsidRPr="00886628" w:rsidRDefault="00C51898" w:rsidP="003563AF">
                      <w:r w:rsidRPr="00886628">
                        <w:t xml:space="preserve">Московской области </w:t>
                      </w:r>
                    </w:p>
                    <w:p w:rsidR="00C51898" w:rsidRDefault="00C51898" w:rsidP="003563AF">
                      <w:r w:rsidRPr="00886628">
                        <w:t>13.12.2019 № 948/12</w:t>
                      </w:r>
                    </w:p>
                    <w:p w:rsidR="00C51898" w:rsidRPr="00886628" w:rsidRDefault="00C5189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4931A1">
                        <w:rPr>
                          <w:rFonts w:cs="Times New Roman"/>
                        </w:rPr>
                        <w:t>от 01.02.2022 №91/2</w:t>
                      </w:r>
                      <w:r w:rsidRPr="004931A1">
                        <w:t>)</w:t>
                      </w:r>
                    </w:p>
                  </w:txbxContent>
                </v:textbox>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B941F2">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053C7F">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167095" w:rsidRDefault="00053C7F" w:rsidP="002A5469">
            <w:r w:rsidRPr="00167095">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BE7C47" w:rsidP="00053C7F">
            <w:pPr>
              <w:jc w:val="center"/>
              <w:rPr>
                <w:rFonts w:cs="Times New Roman"/>
                <w:b/>
                <w:bCs/>
                <w:color w:val="000000"/>
                <w:sz w:val="20"/>
                <w:szCs w:val="20"/>
              </w:rPr>
            </w:pPr>
            <w:r>
              <w:rPr>
                <w:rFonts w:cs="Times New Roman"/>
                <w:b/>
                <w:bCs/>
                <w:color w:val="000000"/>
                <w:sz w:val="20"/>
                <w:szCs w:val="20"/>
              </w:rPr>
              <w:t>392 196,65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F7A1B" w:rsidP="00053C7F">
            <w:pPr>
              <w:jc w:val="center"/>
              <w:rPr>
                <w:rFonts w:cs="Times New Roman"/>
                <w:color w:val="000000"/>
                <w:sz w:val="20"/>
                <w:szCs w:val="20"/>
              </w:rPr>
            </w:pPr>
            <w:r>
              <w:rPr>
                <w:rFonts w:cs="Times New Roman"/>
                <w:color w:val="000000"/>
                <w:sz w:val="20"/>
                <w:szCs w:val="20"/>
              </w:rPr>
              <w:t>87 649,75</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59217D" w:rsidRDefault="00BE7C47" w:rsidP="00053C7F">
            <w:pPr>
              <w:jc w:val="center"/>
              <w:rPr>
                <w:rFonts w:cs="Times New Roman"/>
                <w:b/>
                <w:bCs/>
                <w:color w:val="000000"/>
                <w:sz w:val="20"/>
                <w:szCs w:val="20"/>
                <w:highlight w:val="yellow"/>
              </w:rPr>
            </w:pPr>
            <w:r w:rsidRPr="00167095">
              <w:rPr>
                <w:rFonts w:cs="Times New Roman"/>
                <w:b/>
                <w:bCs/>
                <w:color w:val="000000"/>
                <w:sz w:val="20"/>
                <w:szCs w:val="20"/>
              </w:rPr>
              <w:t>2 586 894,74</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87740A" w:rsidP="00053C7F">
            <w:pPr>
              <w:jc w:val="center"/>
              <w:rPr>
                <w:rFonts w:ascii="Calibri" w:hAnsi="Calibri" w:cs="Calibri"/>
                <w:b/>
                <w:bCs/>
                <w:color w:val="000000"/>
              </w:rPr>
            </w:pPr>
            <w:r>
              <w:rPr>
                <w:rFonts w:ascii="Calibri" w:hAnsi="Calibri" w:cs="Calibri"/>
                <w:b/>
                <w:bCs/>
                <w:color w:val="000000"/>
                <w:sz w:val="22"/>
                <w:szCs w:val="22"/>
              </w:rPr>
              <w:t>606 799,64</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32589" w:rsidRDefault="0088077C" w:rsidP="0088077C">
            <w:pPr>
              <w:jc w:val="center"/>
              <w:rPr>
                <w:rFonts w:cs="Times New Roman"/>
                <w:b/>
                <w:bCs/>
                <w:color w:val="000000"/>
                <w:sz w:val="20"/>
                <w:szCs w:val="20"/>
              </w:rPr>
            </w:pPr>
            <w:r w:rsidRPr="00832589">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832589" w:rsidRDefault="00C51898" w:rsidP="004A0C7A">
            <w:pPr>
              <w:rPr>
                <w:rFonts w:cs="Times New Roman"/>
              </w:rPr>
            </w:pPr>
            <w:r w:rsidRPr="00832589">
              <w:rPr>
                <w:rFonts w:cs="Times New Roman"/>
                <w:b/>
              </w:rPr>
              <w:t>Главный распорядитель бюджетных средств</w:t>
            </w:r>
          </w:p>
        </w:tc>
        <w:tc>
          <w:tcPr>
            <w:tcW w:w="9877" w:type="dxa"/>
            <w:gridSpan w:val="6"/>
            <w:vAlign w:val="center"/>
          </w:tcPr>
          <w:p w:rsidR="00C51898" w:rsidRPr="00832589" w:rsidRDefault="00C51898" w:rsidP="0088077C">
            <w:pPr>
              <w:jc w:val="center"/>
              <w:rPr>
                <w:rFonts w:cs="Times New Roman"/>
                <w:b/>
                <w:color w:val="000000"/>
                <w:lang w:eastAsia="en-US"/>
              </w:rPr>
            </w:pPr>
            <w:r w:rsidRPr="00832589">
              <w:rPr>
                <w:rFonts w:cs="Times New Roman"/>
                <w:b/>
                <w:color w:val="000000"/>
                <w:lang w:eastAsia="en-US"/>
              </w:rPr>
              <w:t>Комитет имущественных отношений Администрации городского округа</w:t>
            </w:r>
          </w:p>
          <w:p w:rsidR="00C51898" w:rsidRPr="00832589" w:rsidRDefault="00C51898" w:rsidP="0088077C">
            <w:pPr>
              <w:jc w:val="center"/>
              <w:rPr>
                <w:rFonts w:cs="Times New Roman"/>
                <w:b/>
                <w:color w:val="000000"/>
                <w:lang w:eastAsia="en-US"/>
              </w:rPr>
            </w:pPr>
            <w:r w:rsidRPr="00832589">
              <w:rPr>
                <w:rFonts w:cs="Times New Roman"/>
                <w:b/>
                <w:color w:val="000000"/>
                <w:lang w:eastAsia="en-US"/>
              </w:rPr>
              <w:t xml:space="preserve"> Электросталь Московской области</w:t>
            </w:r>
            <w:r w:rsidR="00263508" w:rsidRPr="00832589">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lastRenderedPageBreak/>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t xml:space="preserve">Средства бюджета городского округа Электросталь </w:t>
            </w:r>
          </w:p>
        </w:tc>
        <w:tc>
          <w:tcPr>
            <w:tcW w:w="1860" w:type="dxa"/>
          </w:tcPr>
          <w:p w:rsidR="004A6F9E" w:rsidRPr="00832589" w:rsidRDefault="004A6F9E" w:rsidP="004A6F9E">
            <w:pPr>
              <w:jc w:val="center"/>
              <w:rPr>
                <w:rFonts w:cs="Times New Roman"/>
                <w:b/>
                <w:color w:val="000000" w:themeColor="text1"/>
                <w:sz w:val="20"/>
                <w:szCs w:val="20"/>
              </w:rPr>
            </w:pPr>
            <w:r w:rsidRPr="00832589">
              <w:rPr>
                <w:rFonts w:cs="Times New Roman"/>
                <w:b/>
                <w:color w:val="000000" w:themeColor="text1"/>
                <w:sz w:val="20"/>
                <w:szCs w:val="20"/>
              </w:rPr>
              <w:t>33 855,6</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519" w:type="dxa"/>
          </w:tcPr>
          <w:p w:rsidR="004A6F9E" w:rsidRPr="00832589" w:rsidRDefault="004A6F9E" w:rsidP="004A6F9E">
            <w:pPr>
              <w:rPr>
                <w:color w:val="000000" w:themeColor="text1"/>
                <w:sz w:val="20"/>
                <w:szCs w:val="20"/>
              </w:rPr>
            </w:pPr>
            <w:r w:rsidRPr="00832589">
              <w:rPr>
                <w:color w:val="000000" w:themeColor="text1"/>
                <w:sz w:val="20"/>
                <w:szCs w:val="20"/>
              </w:rPr>
              <w:t xml:space="preserve">     33 855,6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519"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519"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519"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832589" w:rsidRDefault="004A6F9E" w:rsidP="004A6F9E">
            <w:pPr>
              <w:jc w:val="center"/>
              <w:rPr>
                <w:rFonts w:cs="Times New Roman"/>
                <w:b/>
                <w:color w:val="000000" w:themeColor="text1"/>
                <w:sz w:val="20"/>
                <w:szCs w:val="20"/>
              </w:rPr>
            </w:pPr>
            <w:r w:rsidRPr="00832589">
              <w:rPr>
                <w:rFonts w:cs="Times New Roman"/>
                <w:b/>
                <w:color w:val="000000" w:themeColor="text1"/>
                <w:sz w:val="20"/>
                <w:szCs w:val="20"/>
              </w:rPr>
              <w:t>33 855,6</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657" w:type="dxa"/>
          </w:tcPr>
          <w:p w:rsidR="004A6F9E" w:rsidRPr="00832589" w:rsidRDefault="004A6F9E" w:rsidP="004A6F9E">
            <w:pPr>
              <w:jc w:val="center"/>
              <w:rPr>
                <w:color w:val="000000" w:themeColor="text1"/>
                <w:sz w:val="20"/>
                <w:szCs w:val="20"/>
              </w:rPr>
            </w:pPr>
            <w:r w:rsidRPr="00832589">
              <w:rPr>
                <w:color w:val="000000" w:themeColor="text1"/>
                <w:sz w:val="20"/>
                <w:szCs w:val="20"/>
              </w:rPr>
              <w:t>0,00</w:t>
            </w:r>
          </w:p>
        </w:tc>
        <w:tc>
          <w:tcPr>
            <w:tcW w:w="1519" w:type="dxa"/>
          </w:tcPr>
          <w:p w:rsidR="004A6F9E" w:rsidRPr="00832589" w:rsidRDefault="004A6F9E" w:rsidP="004A6F9E">
            <w:pPr>
              <w:jc w:val="center"/>
              <w:rPr>
                <w:color w:val="000000" w:themeColor="text1"/>
                <w:sz w:val="20"/>
                <w:szCs w:val="20"/>
              </w:rPr>
            </w:pPr>
            <w:r w:rsidRPr="00832589">
              <w:rPr>
                <w:color w:val="000000" w:themeColor="text1"/>
                <w:sz w:val="20"/>
                <w:szCs w:val="20"/>
              </w:rPr>
              <w:t>33 855,6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«Электростальский», МУП «ЭЦУ», ДНП УК КП «Виктория </w:t>
      </w:r>
      <w:proofErr w:type="spellStart"/>
      <w:r w:rsidRPr="00A87AE9">
        <w:t>Клаб</w:t>
      </w:r>
      <w:proofErr w:type="spellEnd"/>
      <w:r w:rsidRPr="00A87AE9">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lastRenderedPageBreak/>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4230F7" w:rsidRPr="00A87AE9" w:rsidRDefault="004230F7" w:rsidP="004230F7">
      <w:pPr>
        <w:ind w:firstLine="709"/>
        <w:jc w:val="center"/>
        <w:rPr>
          <w:b/>
        </w:rPr>
      </w:pPr>
      <w:r w:rsidRPr="00A87AE9">
        <w:rPr>
          <w:b/>
        </w:rPr>
        <w:lastRenderedPageBreak/>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lastRenderedPageBreak/>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 xml:space="preserve">Увеличение доли сточных вод, очищенных до нормативных </w:t>
            </w:r>
            <w:r w:rsidRPr="00A87AE9">
              <w:rPr>
                <w:color w:val="000000"/>
                <w:sz w:val="20"/>
                <w:szCs w:val="20"/>
              </w:rPr>
              <w:lastRenderedPageBreak/>
              <w:t>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lastRenderedPageBreak/>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5C04A5">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lastRenderedPageBreak/>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lastRenderedPageBreak/>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w:t>
            </w:r>
            <w:r w:rsidRPr="00A87AE9">
              <w:rPr>
                <w:rFonts w:cs="Times New Roman"/>
                <w:color w:val="000000" w:themeColor="text1"/>
                <w:sz w:val="20"/>
                <w:szCs w:val="20"/>
              </w:rPr>
              <w:lastRenderedPageBreak/>
              <w:t>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proofErr w:type="gramStart"/>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proofErr w:type="gramEnd"/>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254C4A" w:rsidRDefault="00254C4A"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3815B3">
        <w:trPr>
          <w:trHeight w:val="407"/>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3815B3">
        <w:trPr>
          <w:trHeight w:val="1592"/>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водоочистки  на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6067F8" w:rsidRPr="00A87AE9" w:rsidTr="00511D3D">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6E6720">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6E6720">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B375E2">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B375E2">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B375E2">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A34A57">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173A19" w:rsidRPr="00A87AE9" w:rsidTr="00A34A57">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73A19" w:rsidRPr="00A87AE9" w:rsidRDefault="00173A19"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173A19" w:rsidRPr="00A87AE9" w:rsidTr="00803390">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01.02.                                                                                                                                                                                       </w:t>
            </w:r>
            <w:r w:rsidRPr="00A87AE9">
              <w:rPr>
                <w:rFonts w:cs="Times New Roman"/>
                <w:sz w:val="20"/>
                <w:szCs w:val="20"/>
              </w:rPr>
              <w:lastRenderedPageBreak/>
              <w:t>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w:t>
            </w:r>
            <w:r w:rsidRPr="00A87AE9">
              <w:rPr>
                <w:rFonts w:cs="Times New Roman"/>
                <w:sz w:val="20"/>
                <w:szCs w:val="20"/>
              </w:rPr>
              <w:lastRenderedPageBreak/>
              <w:t xml:space="preserve">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w:t>
            </w:r>
            <w:proofErr w:type="gramStart"/>
            <w:r w:rsidRPr="00A87AE9">
              <w:rPr>
                <w:rFonts w:cs="Times New Roman"/>
                <w:sz w:val="20"/>
                <w:szCs w:val="20"/>
              </w:rPr>
              <w:t>ремонт  2</w:t>
            </w:r>
            <w:proofErr w:type="gramEnd"/>
            <w:r w:rsidRPr="00A87AE9">
              <w:rPr>
                <w:rFonts w:cs="Times New Roman"/>
                <w:sz w:val="20"/>
                <w:szCs w:val="20"/>
              </w:rPr>
              <w:t xml:space="preserve">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w:t>
            </w:r>
            <w:r w:rsidRPr="00A87AE9">
              <w:rPr>
                <w:rFonts w:cs="Times New Roman"/>
                <w:sz w:val="20"/>
                <w:szCs w:val="20"/>
              </w:rPr>
              <w:lastRenderedPageBreak/>
              <w:t>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7551D2">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58"/>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0C7404" w:rsidRDefault="000C7404">
            <w:pPr>
              <w:jc w:val="center"/>
              <w:rPr>
                <w:sz w:val="20"/>
                <w:szCs w:val="20"/>
              </w:rPr>
            </w:pPr>
            <w:r w:rsidRPr="000C7404">
              <w:rPr>
                <w:sz w:val="20"/>
                <w:szCs w:val="20"/>
              </w:rPr>
              <w:t>2 067 137,05</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551D5A" w:rsidRDefault="002E0BA3">
            <w:pPr>
              <w:jc w:val="center"/>
              <w:rPr>
                <w:sz w:val="20"/>
                <w:szCs w:val="20"/>
              </w:rPr>
            </w:pPr>
            <w:r w:rsidRPr="00551D5A">
              <w:rPr>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551D5A" w:rsidRDefault="000C7404">
            <w:pPr>
              <w:jc w:val="center"/>
              <w:rPr>
                <w:sz w:val="20"/>
                <w:szCs w:val="20"/>
              </w:rPr>
            </w:pPr>
            <w:r>
              <w:rPr>
                <w:sz w:val="20"/>
                <w:szCs w:val="20"/>
              </w:rPr>
              <w:t>496 987,85</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0C7404" w:rsidRDefault="000C7404">
            <w:pPr>
              <w:jc w:val="center"/>
              <w:rPr>
                <w:sz w:val="20"/>
                <w:szCs w:val="20"/>
              </w:rPr>
            </w:pPr>
            <w:r w:rsidRPr="000C7404">
              <w:rPr>
                <w:sz w:val="20"/>
                <w:szCs w:val="20"/>
              </w:rPr>
              <w:t>206 035,13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551D5A" w:rsidRDefault="000C7404">
            <w:pPr>
              <w:jc w:val="center"/>
              <w:rPr>
                <w:sz w:val="20"/>
                <w:szCs w:val="20"/>
              </w:rPr>
            </w:pPr>
            <w:r>
              <w:rPr>
                <w:sz w:val="20"/>
                <w:szCs w:val="20"/>
              </w:rPr>
              <w:t>45 464,05</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981B6F" w:rsidRDefault="004A6F9E" w:rsidP="004A6F9E">
            <w:pPr>
              <w:jc w:val="center"/>
              <w:rPr>
                <w:color w:val="000000" w:themeColor="text1"/>
                <w:sz w:val="20"/>
                <w:szCs w:val="20"/>
              </w:rPr>
            </w:pPr>
            <w:r w:rsidRPr="00981B6F">
              <w:rPr>
                <w:color w:val="000000" w:themeColor="text1"/>
                <w:sz w:val="20"/>
                <w:szCs w:val="20"/>
              </w:rPr>
              <w:t>33 855,6</w:t>
            </w:r>
          </w:p>
          <w:p w:rsidR="004A6F9E" w:rsidRPr="00981B6F"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33 855,6</w:t>
            </w:r>
          </w:p>
        </w:tc>
        <w:tc>
          <w:tcPr>
            <w:tcW w:w="1377" w:type="dxa"/>
            <w:tcBorders>
              <w:top w:val="single" w:sz="4" w:space="0" w:color="auto"/>
              <w:left w:val="nil"/>
              <w:bottom w:val="single" w:sz="4" w:space="0" w:color="auto"/>
              <w:right w:val="single" w:sz="4" w:space="0" w:color="auto"/>
            </w:tcBorders>
            <w:shd w:val="clear" w:color="auto" w:fill="auto"/>
          </w:tcPr>
          <w:p w:rsidR="004A6F9E" w:rsidRPr="00551D5A" w:rsidRDefault="004A6F9E" w:rsidP="004A6F9E">
            <w:pPr>
              <w:jc w:val="center"/>
              <w:rPr>
                <w:color w:val="000000"/>
                <w:sz w:val="20"/>
                <w:szCs w:val="20"/>
              </w:rPr>
            </w:pPr>
            <w:r w:rsidRPr="00551D5A">
              <w:rPr>
                <w:color w:val="000000"/>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551D5A" w:rsidRDefault="004A6F9E" w:rsidP="004A6F9E">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981B6F">
              <w:rPr>
                <w:sz w:val="20"/>
                <w:szCs w:val="20"/>
              </w:rPr>
              <w:t>Комитет имущественных отношений Администрации городского округа Электросталь Московской области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981B6F" w:rsidRDefault="004A6F9E" w:rsidP="004A6F9E">
            <w:pPr>
              <w:jc w:val="center"/>
              <w:rPr>
                <w:color w:val="000000" w:themeColor="text1"/>
              </w:rPr>
            </w:pPr>
            <w:r w:rsidRPr="00981B6F">
              <w:rPr>
                <w:color w:val="000000" w:themeColor="text1"/>
                <w:sz w:val="20"/>
                <w:szCs w:val="20"/>
              </w:rPr>
              <w:t>33 855,6</w:t>
            </w:r>
          </w:p>
        </w:tc>
        <w:tc>
          <w:tcPr>
            <w:tcW w:w="1367"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33 855,6</w:t>
            </w:r>
          </w:p>
        </w:tc>
        <w:tc>
          <w:tcPr>
            <w:tcW w:w="1377"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981B6F" w:rsidRDefault="004A6F9E" w:rsidP="004A6F9E">
            <w:pPr>
              <w:jc w:val="center"/>
              <w:rPr>
                <w:color w:val="000000" w:themeColor="text1"/>
              </w:rPr>
            </w:pPr>
            <w:r w:rsidRPr="00981B6F">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981B6F" w:rsidRDefault="004A6F9E" w:rsidP="004A6F9E">
            <w:pPr>
              <w:jc w:val="center"/>
              <w:rPr>
                <w:rFonts w:cs="Times New Roman"/>
                <w:color w:val="000000" w:themeColor="text1"/>
                <w:sz w:val="20"/>
                <w:szCs w:val="20"/>
              </w:rPr>
            </w:pPr>
            <w:r w:rsidRPr="00981B6F">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87AE9" w:rsidRDefault="004A6F9E" w:rsidP="004A6F9E">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w:t>
      </w:r>
      <w:r w:rsidRPr="00A87AE9">
        <w:rPr>
          <w:sz w:val="24"/>
          <w:szCs w:val="24"/>
        </w:rPr>
        <w:lastRenderedPageBreak/>
        <w:t>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«Бабеево») и ООО «Совхоз «Электростальский»,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xml:space="preserve">; ООО «Совхоз «Электростальский»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w:t>
      </w:r>
      <w:proofErr w:type="gramStart"/>
      <w:r w:rsidR="00CD3EAA" w:rsidRPr="00A87AE9">
        <w:rPr>
          <w:rFonts w:cs="Times New Roman"/>
          <w:b/>
          <w:bCs/>
          <w:sz w:val="20"/>
          <w:szCs w:val="20"/>
        </w:rPr>
        <w:t xml:space="preserve">ПОДПРОГРАММЫ </w:t>
      </w:r>
      <w:r w:rsidR="00E07454">
        <w:rPr>
          <w:rFonts w:cs="Times New Roman"/>
          <w:b/>
          <w:bCs/>
          <w:sz w:val="20"/>
          <w:szCs w:val="20"/>
        </w:rPr>
        <w:t xml:space="preserve"> </w:t>
      </w:r>
      <w:r w:rsidR="00CD3EAA" w:rsidRPr="00A87AE9">
        <w:rPr>
          <w:rFonts w:cs="Times New Roman"/>
          <w:b/>
          <w:bCs/>
          <w:sz w:val="20"/>
          <w:szCs w:val="20"/>
        </w:rPr>
        <w:t>III</w:t>
      </w:r>
      <w:proofErr w:type="gramEnd"/>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4A6F9E">
        <w:trPr>
          <w:trHeight w:val="197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реконструкция, капитальный  ремонт, приобретение, монтаж и ввод в </w:t>
            </w:r>
            <w:r w:rsidRPr="00A87AE9">
              <w:rPr>
                <w:rFonts w:cs="Times New Roman"/>
                <w:sz w:val="20"/>
                <w:szCs w:val="20"/>
              </w:rPr>
              <w:lastRenderedPageBreak/>
              <w:t>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F75AA5" w:rsidRDefault="00B111D0">
            <w:pPr>
              <w:jc w:val="center"/>
              <w:rPr>
                <w:rFonts w:cs="Times New Roman"/>
                <w:color w:val="000000" w:themeColor="text1"/>
                <w:sz w:val="20"/>
                <w:szCs w:val="20"/>
              </w:rPr>
            </w:pPr>
            <w:r w:rsidRPr="00F75AA5">
              <w:rPr>
                <w:rFonts w:cs="Times New Roman"/>
                <w:color w:val="000000" w:themeColor="text1"/>
                <w:sz w:val="20"/>
                <w:szCs w:val="20"/>
              </w:rPr>
              <w:t>1 308 620,74</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F75AA5" w:rsidRDefault="007677E2">
            <w:pPr>
              <w:jc w:val="center"/>
              <w:rPr>
                <w:rFonts w:cs="Times New Roman"/>
                <w:color w:val="000000" w:themeColor="text1"/>
                <w:sz w:val="20"/>
                <w:szCs w:val="20"/>
              </w:rPr>
            </w:pPr>
            <w:r w:rsidRPr="00F75AA5">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F75AA5" w:rsidRDefault="007677E2">
            <w:pPr>
              <w:jc w:val="center"/>
              <w:rPr>
                <w:rFonts w:cs="Times New Roman"/>
                <w:color w:val="000000" w:themeColor="text1"/>
                <w:sz w:val="20"/>
                <w:szCs w:val="20"/>
              </w:rPr>
            </w:pPr>
            <w:r w:rsidRPr="00F75AA5">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F75AA5" w:rsidRDefault="00B111D0">
            <w:pPr>
              <w:jc w:val="center"/>
              <w:rPr>
                <w:rFonts w:cs="Times New Roman"/>
                <w:color w:val="000000" w:themeColor="text1"/>
                <w:sz w:val="20"/>
                <w:szCs w:val="20"/>
              </w:rPr>
            </w:pPr>
            <w:r w:rsidRPr="00F75AA5">
              <w:rPr>
                <w:rFonts w:cs="Times New Roman"/>
                <w:color w:val="000000" w:themeColor="text1"/>
                <w:sz w:val="20"/>
                <w:szCs w:val="20"/>
              </w:rPr>
              <w:t>303 102,10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F75AA5" w:rsidRDefault="00B111D0">
            <w:pPr>
              <w:jc w:val="center"/>
              <w:rPr>
                <w:rFonts w:cs="Times New Roman"/>
                <w:color w:val="000000" w:themeColor="text1"/>
                <w:sz w:val="20"/>
                <w:szCs w:val="20"/>
              </w:rPr>
            </w:pPr>
            <w:r w:rsidRPr="00F75AA5">
              <w:rPr>
                <w:rFonts w:cs="Times New Roman"/>
                <w:color w:val="000000" w:themeColor="text1"/>
                <w:sz w:val="20"/>
                <w:szCs w:val="20"/>
              </w:rPr>
              <w:t>74 555,04</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F75AA5" w:rsidRDefault="00033DED">
            <w:pPr>
              <w:jc w:val="center"/>
              <w:rPr>
                <w:rFonts w:cs="Times New Roman"/>
                <w:color w:val="000000" w:themeColor="text1"/>
                <w:sz w:val="20"/>
                <w:szCs w:val="20"/>
              </w:rPr>
            </w:pPr>
            <w:r w:rsidRPr="00F75AA5">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F75AA5" w:rsidRDefault="00033DED">
            <w:pPr>
              <w:jc w:val="center"/>
              <w:rPr>
                <w:rFonts w:cs="Times New Roman"/>
                <w:color w:val="000000" w:themeColor="text1"/>
                <w:sz w:val="20"/>
                <w:szCs w:val="20"/>
              </w:rPr>
            </w:pPr>
            <w:r w:rsidRPr="00F75AA5">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F75AA5" w:rsidRDefault="00B111D0">
            <w:pPr>
              <w:jc w:val="center"/>
              <w:rPr>
                <w:rFonts w:cs="Times New Roman"/>
                <w:color w:val="000000" w:themeColor="text1"/>
                <w:sz w:val="20"/>
                <w:szCs w:val="20"/>
              </w:rPr>
            </w:pPr>
            <w:r w:rsidRPr="00F75AA5">
              <w:rPr>
                <w:rFonts w:cs="Times New Roman"/>
                <w:color w:val="000000" w:themeColor="text1"/>
                <w:sz w:val="20"/>
                <w:szCs w:val="20"/>
              </w:rPr>
              <w:t>33</w:t>
            </w:r>
            <w:r w:rsidR="00CD416C" w:rsidRPr="00F75AA5">
              <w:rPr>
                <w:rFonts w:cs="Times New Roman"/>
                <w:color w:val="000000" w:themeColor="text1"/>
                <w:sz w:val="20"/>
                <w:szCs w:val="20"/>
              </w:rPr>
              <w:t xml:space="preserve"> </w:t>
            </w:r>
            <w:r w:rsidRPr="00F75AA5">
              <w:rPr>
                <w:rFonts w:cs="Times New Roman"/>
                <w:color w:val="000000" w:themeColor="text1"/>
                <w:sz w:val="20"/>
                <w:szCs w:val="20"/>
              </w:rPr>
              <w:t>855,6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lastRenderedPageBreak/>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8B62DA">
            <w:pPr>
              <w:jc w:val="center"/>
              <w:rPr>
                <w:rFonts w:cs="Times New Roman"/>
                <w:sz w:val="20"/>
                <w:szCs w:val="20"/>
              </w:rPr>
            </w:pPr>
            <w:r w:rsidRPr="00B73CC6">
              <w:rPr>
                <w:rFonts w:cs="Times New Roman"/>
                <w:sz w:val="20"/>
                <w:szCs w:val="20"/>
              </w:rPr>
              <w:t>33 855,6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rsidP="00824D59">
            <w:pPr>
              <w:jc w:val="center"/>
            </w:pPr>
            <w:r w:rsidRPr="00B73CC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rsidP="00824D59">
            <w:pPr>
              <w:jc w:val="center"/>
            </w:pPr>
            <w:r w:rsidRPr="00B73CC6">
              <w:rPr>
                <w:rFonts w:cs="Times New Roman"/>
                <w:sz w:val="20"/>
                <w:szCs w:val="20"/>
              </w:rPr>
              <w:t>33 855,6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rsidP="00824D59">
            <w:pPr>
              <w:jc w:val="center"/>
            </w:pPr>
            <w:r w:rsidRPr="00B73CC6">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rsidP="00824D59">
            <w:pPr>
              <w:jc w:val="center"/>
            </w:pPr>
            <w:r w:rsidRPr="00B73CC6">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B73CC6" w:rsidRDefault="00F414E6" w:rsidP="006E5CC1">
            <w:pPr>
              <w:jc w:val="center"/>
              <w:rPr>
                <w:rFonts w:cs="Times New Roman"/>
                <w:sz w:val="20"/>
                <w:szCs w:val="20"/>
              </w:rPr>
            </w:pPr>
            <w:r w:rsidRPr="00B73CC6">
              <w:rPr>
                <w:rFonts w:cs="Times New Roman"/>
                <w:sz w:val="20"/>
                <w:szCs w:val="20"/>
              </w:rPr>
              <w:t>КИО,</w:t>
            </w:r>
          </w:p>
          <w:p w:rsidR="00F414E6" w:rsidRPr="00B73CC6" w:rsidRDefault="00F414E6" w:rsidP="006E5CC1">
            <w:pPr>
              <w:jc w:val="center"/>
              <w:rPr>
                <w:rFonts w:cs="Times New Roman"/>
                <w:sz w:val="20"/>
                <w:szCs w:val="20"/>
              </w:rPr>
            </w:pPr>
            <w:r w:rsidRPr="00B73CC6">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B73CC6" w:rsidRDefault="00F414E6" w:rsidP="006E5CC1">
            <w:pPr>
              <w:rPr>
                <w:rFonts w:cs="Times New Roman"/>
                <w:sz w:val="20"/>
                <w:szCs w:val="20"/>
              </w:rPr>
            </w:pPr>
            <w:r w:rsidRPr="00B73CC6">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8B62DA">
            <w:pPr>
              <w:jc w:val="center"/>
              <w:rPr>
                <w:rFonts w:cs="Times New Roman"/>
                <w:sz w:val="20"/>
                <w:szCs w:val="20"/>
              </w:rPr>
            </w:pPr>
            <w:r w:rsidRPr="00B73CC6">
              <w:rPr>
                <w:rFonts w:cs="Times New Roman"/>
                <w:sz w:val="20"/>
                <w:szCs w:val="20"/>
              </w:rPr>
              <w:t>33 855,6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33 855,6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B73CC6"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B73CC6" w:rsidRDefault="00F414E6" w:rsidP="006E5CC1">
            <w:pPr>
              <w:rPr>
                <w:rFonts w:cs="Times New Roman"/>
                <w:sz w:val="20"/>
                <w:szCs w:val="20"/>
              </w:rPr>
            </w:pPr>
          </w:p>
        </w:tc>
      </w:tr>
      <w:tr w:rsidR="00F414E6" w:rsidRPr="00A87AE9" w:rsidTr="004A6F9E">
        <w:trPr>
          <w:trHeight w:val="855"/>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B73CC6" w:rsidRDefault="00F414E6">
            <w:pPr>
              <w:jc w:val="center"/>
              <w:rPr>
                <w:rFonts w:cs="Times New Roman"/>
                <w:sz w:val="20"/>
                <w:szCs w:val="20"/>
              </w:rPr>
            </w:pPr>
            <w:r w:rsidRPr="00B73CC6">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B73CC6"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B73CC6"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B73CC6" w:rsidRDefault="004A6F9E" w:rsidP="004A6F9E">
            <w:pPr>
              <w:rPr>
                <w:rFonts w:cs="Times New Roman"/>
                <w:sz w:val="20"/>
                <w:szCs w:val="20"/>
              </w:rPr>
            </w:pPr>
            <w:r w:rsidRPr="00B73CC6">
              <w:rPr>
                <w:rFonts w:cs="Times New Roman"/>
                <w:sz w:val="20"/>
                <w:szCs w:val="20"/>
              </w:rPr>
              <w:t>Мероприятие 02.04.1</w:t>
            </w:r>
            <w:r w:rsidRPr="00B73CC6">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B73CC6" w:rsidRDefault="004A6F9E" w:rsidP="004A6F9E">
            <w:pPr>
              <w:rPr>
                <w:rFonts w:cs="Times New Roman"/>
                <w:sz w:val="20"/>
                <w:szCs w:val="20"/>
              </w:rPr>
            </w:pPr>
            <w:r w:rsidRPr="00B73CC6">
              <w:rPr>
                <w:rFonts w:cs="Times New Roman"/>
                <w:sz w:val="20"/>
                <w:szCs w:val="20"/>
              </w:rPr>
              <w:t>2022 г</w:t>
            </w: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p w:rsidR="004A6F9E" w:rsidRPr="00B73CC6"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B73CC6" w:rsidRDefault="004A6F9E" w:rsidP="004A6F9E">
            <w:pPr>
              <w:rPr>
                <w:rFonts w:cs="Times New Roman"/>
                <w:sz w:val="20"/>
                <w:szCs w:val="20"/>
              </w:rPr>
            </w:pPr>
            <w:r w:rsidRPr="00B73CC6">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33 855,6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color w:val="000000" w:themeColor="text1"/>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color w:val="000000" w:themeColor="text1"/>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33 855,6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pPr>
            <w:r w:rsidRPr="00B73CC6">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pPr>
            <w:r w:rsidRPr="00B73CC6">
              <w:rPr>
                <w:rFonts w:cs="Times New Roman"/>
                <w:sz w:val="20"/>
                <w:szCs w:val="20"/>
              </w:rPr>
              <w:t>0,00</w:t>
            </w:r>
          </w:p>
        </w:tc>
        <w:tc>
          <w:tcPr>
            <w:tcW w:w="1269" w:type="dxa"/>
            <w:vMerge w:val="restart"/>
            <w:tcBorders>
              <w:top w:val="single" w:sz="4" w:space="0" w:color="auto"/>
              <w:left w:val="single" w:sz="4" w:space="0" w:color="auto"/>
              <w:right w:val="single" w:sz="4" w:space="0" w:color="auto"/>
            </w:tcBorders>
          </w:tcPr>
          <w:p w:rsidR="004A6F9E" w:rsidRPr="00B73CC6" w:rsidRDefault="004A6F9E" w:rsidP="004A6F9E">
            <w:pPr>
              <w:jc w:val="center"/>
              <w:rPr>
                <w:rFonts w:cs="Times New Roman"/>
                <w:sz w:val="20"/>
                <w:szCs w:val="20"/>
              </w:rPr>
            </w:pPr>
            <w:r w:rsidRPr="00B73CC6">
              <w:rPr>
                <w:rFonts w:cs="Times New Roman"/>
                <w:sz w:val="20"/>
                <w:szCs w:val="20"/>
              </w:rPr>
              <w:t>КИО,</w:t>
            </w:r>
          </w:p>
          <w:p w:rsidR="004A6F9E" w:rsidRPr="00B73CC6" w:rsidRDefault="004A6F9E" w:rsidP="004A6F9E">
            <w:pPr>
              <w:jc w:val="center"/>
              <w:rPr>
                <w:rFonts w:cs="Times New Roman"/>
                <w:sz w:val="20"/>
                <w:szCs w:val="20"/>
              </w:rPr>
            </w:pPr>
            <w:r w:rsidRPr="00B73CC6">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B73CC6" w:rsidRDefault="004A6F9E" w:rsidP="004A6F9E">
            <w:pPr>
              <w:rPr>
                <w:rFonts w:cs="Times New Roman"/>
                <w:sz w:val="20"/>
                <w:szCs w:val="20"/>
              </w:rPr>
            </w:pPr>
            <w:r w:rsidRPr="00B73CC6">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B73CC6"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B73CC6"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B73CC6" w:rsidRDefault="004A6F9E" w:rsidP="004A6F9E">
            <w:pPr>
              <w:rPr>
                <w:rFonts w:cs="Times New Roman"/>
                <w:sz w:val="20"/>
                <w:szCs w:val="20"/>
              </w:rPr>
            </w:pPr>
            <w:r w:rsidRPr="00B73CC6">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33 855,6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color w:val="000000" w:themeColor="text1"/>
                <w:sz w:val="20"/>
                <w:szCs w:val="20"/>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color w:val="000000" w:themeColor="text1"/>
                <w:sz w:val="20"/>
                <w:szCs w:val="20"/>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33 855,6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rFonts w:cs="Times New Roman"/>
                <w:sz w:val="20"/>
                <w:szCs w:val="20"/>
              </w:rPr>
            </w:pPr>
            <w:r w:rsidRPr="00B73CC6">
              <w:rPr>
                <w:rFonts w:cs="Times New Roman"/>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9C6CBF" w:rsidRDefault="004A6F9E" w:rsidP="004A6F9E">
            <w:pPr>
              <w:jc w:val="center"/>
              <w:rPr>
                <w:rFonts w:cs="Times New Roman"/>
                <w:sz w:val="20"/>
                <w:szCs w:val="20"/>
              </w:rPr>
            </w:pPr>
            <w:r>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color w:val="000000" w:themeColor="text1"/>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B73CC6" w:rsidRDefault="004A6F9E" w:rsidP="004A6F9E">
            <w:pPr>
              <w:jc w:val="center"/>
              <w:rPr>
                <w:color w:val="000000" w:themeColor="text1"/>
              </w:rPr>
            </w:pPr>
            <w:r w:rsidRPr="00B73CC6">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9C6CBF" w:rsidRDefault="004A6F9E" w:rsidP="004A6F9E">
            <w:pPr>
              <w:jc w:val="center"/>
              <w:rPr>
                <w:rFonts w:cs="Times New Roman"/>
                <w:sz w:val="20"/>
                <w:szCs w:val="20"/>
              </w:rPr>
            </w:pPr>
            <w:r>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9C6CBF" w:rsidRDefault="004A6F9E" w:rsidP="004A6F9E">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9C6CBF" w:rsidRDefault="004A6F9E" w:rsidP="004A6F9E">
            <w:pPr>
              <w:jc w:val="center"/>
              <w:rPr>
                <w:rFonts w:cs="Times New Roman"/>
                <w:sz w:val="20"/>
                <w:szCs w:val="20"/>
              </w:rPr>
            </w:pPr>
            <w:r w:rsidRPr="009C6CBF">
              <w:rPr>
                <w:rFonts w:cs="Times New Roman"/>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9C6CBF" w:rsidRDefault="00866011" w:rsidP="00866011">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lastRenderedPageBreak/>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662 274,29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192 385,75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35 238,07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10 108,45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627 036,22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182 277,30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71 385,09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4 386,06</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66 999,03</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26 862,00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590 889,20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164 109,98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в/г Ногинск-5, (в том числе ПИР и технологическое присоединение к электрическим  сетям)</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30 852,01</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8 694,68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155 415,30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proofErr w:type="spellStart"/>
            <w:r>
              <w:rPr>
                <w:rFonts w:cs="Times New Roman"/>
                <w:sz w:val="20"/>
                <w:szCs w:val="20"/>
              </w:rPr>
              <w:t>ресурсоснабжающих</w:t>
            </w:r>
            <w:proofErr w:type="spellEnd"/>
            <w:r>
              <w:rPr>
                <w:rFonts w:cs="Times New Roman"/>
                <w:sz w:val="20"/>
                <w:szCs w:val="20"/>
              </w:rPr>
              <w:t>,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4A6F9E" w:rsidRDefault="00926AB2" w:rsidP="00866011">
            <w:pPr>
              <w:jc w:val="center"/>
              <w:rPr>
                <w:color w:val="FF0000"/>
                <w:sz w:val="20"/>
                <w:szCs w:val="20"/>
              </w:rPr>
            </w:pPr>
            <w:r w:rsidRPr="00AB60CA">
              <w:rPr>
                <w:color w:val="000000" w:themeColor="text1"/>
                <w:sz w:val="20"/>
                <w:szCs w:val="20"/>
              </w:rPr>
              <w:t>2 067 137,05</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7C0462" w:rsidRDefault="007C0462" w:rsidP="00866011">
            <w:pPr>
              <w:jc w:val="center"/>
              <w:rPr>
                <w:color w:val="000000" w:themeColor="text1"/>
                <w:sz w:val="20"/>
                <w:szCs w:val="20"/>
              </w:rPr>
            </w:pPr>
            <w:r w:rsidRPr="007C0462">
              <w:rPr>
                <w:color w:val="000000" w:themeColor="text1"/>
                <w:sz w:val="20"/>
                <w:szCs w:val="20"/>
              </w:rPr>
              <w:t>496 987,85</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522 520,22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4A6F9E" w:rsidRDefault="00F95353" w:rsidP="00866011">
            <w:pPr>
              <w:jc w:val="center"/>
              <w:rPr>
                <w:color w:val="FF0000"/>
                <w:sz w:val="20"/>
                <w:szCs w:val="20"/>
              </w:rPr>
            </w:pPr>
            <w:r w:rsidRPr="00F95353">
              <w:rPr>
                <w:color w:val="000000" w:themeColor="text1"/>
                <w:sz w:val="20"/>
                <w:szCs w:val="20"/>
              </w:rPr>
              <w:t>206 035,13</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7C0462" w:rsidRDefault="007C0462" w:rsidP="00866011">
            <w:pPr>
              <w:jc w:val="center"/>
              <w:rPr>
                <w:color w:val="000000" w:themeColor="text1"/>
                <w:sz w:val="20"/>
                <w:szCs w:val="20"/>
              </w:rPr>
            </w:pPr>
            <w:r w:rsidRPr="007C0462">
              <w:rPr>
                <w:color w:val="000000" w:themeColor="text1"/>
                <w:sz w:val="20"/>
                <w:szCs w:val="20"/>
              </w:rPr>
              <w:t>45 464,05</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20 995,67</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627 036,22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182 277,30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357 538,05</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w:t>
      </w:r>
      <w:r w:rsidRPr="00A87AE9">
        <w:lastRenderedPageBreak/>
        <w:t>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1057"/>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41799C">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41799C">
        <w:trPr>
          <w:trHeight w:val="968"/>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41799C">
        <w:trPr>
          <w:trHeight w:val="78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Установка, замена, поверка общедомовых приборов учета энергетических </w:t>
            </w:r>
            <w:r w:rsidRPr="00DC4889">
              <w:rPr>
                <w:rFonts w:cs="Times New Roman"/>
                <w:color w:val="000000"/>
                <w:sz w:val="20"/>
                <w:szCs w:val="20"/>
              </w:rPr>
              <w:t xml:space="preserve">ресурсов </w:t>
            </w:r>
            <w:r w:rsidRPr="00A87AE9">
              <w:rPr>
                <w:rFonts w:cs="Times New Roman"/>
                <w:color w:val="000000"/>
                <w:sz w:val="20"/>
                <w:szCs w:val="20"/>
              </w:rPr>
              <w:t>в многоквартирных домах</w:t>
            </w:r>
          </w:p>
        </w:tc>
      </w:tr>
      <w:tr w:rsidR="006D79A4" w:rsidRPr="00A87AE9" w:rsidTr="0041799C">
        <w:trPr>
          <w:trHeight w:val="1429"/>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городского округа</w:t>
            </w:r>
          </w:p>
        </w:tc>
      </w:tr>
      <w:tr w:rsidR="004A6BF5"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41799C">
        <w:trPr>
          <w:trHeight w:val="431"/>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41799C">
        <w:trPr>
          <w:trHeight w:val="210"/>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6D79A4" w:rsidRDefault="006D79A4" w:rsidP="008F03B7">
      <w:pPr>
        <w:pStyle w:val="ConsPlusNormal"/>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514E9" w:rsidRDefault="00F73D37" w:rsidP="0089372C">
      <w:pPr>
        <w:pStyle w:val="ConsPlusNormal"/>
        <w:ind w:firstLine="539"/>
        <w:rPr>
          <w:rFonts w:cs="Times New Roman"/>
          <w:color w:val="000000"/>
        </w:rPr>
      </w:pPr>
      <w:r>
        <w:rPr>
          <w:rFonts w:cs="Times New Roman"/>
          <w:color w:val="000000"/>
        </w:rPr>
        <w:t xml:space="preserve">                                                                                                                                      </w:t>
      </w: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E062D7" w:rsidRDefault="005514E9" w:rsidP="0089372C">
      <w:pPr>
        <w:pStyle w:val="ConsPlusNormal"/>
        <w:ind w:firstLine="539"/>
        <w:rPr>
          <w:rFonts w:cs="Times New Roman"/>
          <w:color w:val="000000"/>
        </w:rPr>
      </w:pPr>
      <w:r>
        <w:rPr>
          <w:rFonts w:cs="Times New Roman"/>
          <w:color w:val="000000"/>
        </w:rPr>
        <w:t xml:space="preserve">                                                                                                                                      </w:t>
      </w:r>
      <w:r w:rsidR="00F73D37">
        <w:rPr>
          <w:rFonts w:cs="Times New Roman"/>
          <w:color w:val="000000"/>
        </w:rPr>
        <w:t xml:space="preserve"> </w:t>
      </w: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89372C" w:rsidRDefault="00E062D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F03B7">
        <w:trPr>
          <w:trHeight w:val="986"/>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lastRenderedPageBreak/>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 xml:space="preserve">Основное мероприятие 01. Создание условий для реализации полномочий органов местного </w:t>
            </w:r>
            <w:r w:rsidRPr="00A87AE9">
              <w:rPr>
                <w:rFonts w:cs="Times New Roman"/>
                <w:color w:val="000000"/>
                <w:sz w:val="20"/>
                <w:szCs w:val="20"/>
              </w:rPr>
              <w:lastRenderedPageBreak/>
              <w:t>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4B0B85">
        <w:trPr>
          <w:trHeight w:val="1751"/>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r>
      <w:tr w:rsidR="00F955B4" w:rsidRPr="00A87AE9" w:rsidTr="004B0B85">
        <w:trPr>
          <w:trHeight w:val="178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1452"/>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8E58CF" w:rsidRPr="00C33BE3" w:rsidRDefault="008E58CF" w:rsidP="005C04A5">
      <w:pPr>
        <w:pStyle w:val="ConsPlusNormal"/>
        <w:tabs>
          <w:tab w:val="left" w:pos="14317"/>
        </w:tabs>
        <w:rPr>
          <w:rFonts w:cs="Times New Roman"/>
        </w:rPr>
      </w:pPr>
    </w:p>
    <w:sectPr w:rsidR="008E58CF"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DE" w:rsidRDefault="00A15BDE" w:rsidP="006E0EF0">
      <w:r>
        <w:separator/>
      </w:r>
    </w:p>
  </w:endnote>
  <w:endnote w:type="continuationSeparator" w:id="0">
    <w:p w:rsidR="00A15BDE" w:rsidRDefault="00A15BDE"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DE" w:rsidRDefault="00A15BDE" w:rsidP="006E0EF0">
      <w:r>
        <w:separator/>
      </w:r>
    </w:p>
  </w:footnote>
  <w:footnote w:type="continuationSeparator" w:id="0">
    <w:p w:rsidR="00A15BDE" w:rsidRDefault="00A15BDE"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C51898" w:rsidRDefault="00C51898">
        <w:pPr>
          <w:pStyle w:val="a4"/>
          <w:jc w:val="center"/>
        </w:pPr>
        <w:r>
          <w:fldChar w:fldCharType="begin"/>
        </w:r>
        <w:r>
          <w:instrText>PAGE   \* MERGEFORMAT</w:instrText>
        </w:r>
        <w:r>
          <w:fldChar w:fldCharType="separate"/>
        </w:r>
        <w:r w:rsidR="005C04A5">
          <w:rPr>
            <w:noProof/>
          </w:rPr>
          <w:t>20</w:t>
        </w:r>
        <w:r>
          <w:rPr>
            <w:noProof/>
          </w:rPr>
          <w:fldChar w:fldCharType="end"/>
        </w:r>
      </w:p>
    </w:sdtContent>
  </w:sdt>
  <w:p w:rsidR="00C51898" w:rsidRDefault="00C5189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898" w:rsidRDefault="00C51898">
    <w:pPr>
      <w:pStyle w:val="a4"/>
      <w:jc w:val="center"/>
    </w:pPr>
  </w:p>
  <w:p w:rsidR="00C51898" w:rsidRDefault="00C518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2B52"/>
    <w:rsid w:val="00033DED"/>
    <w:rsid w:val="000419EF"/>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752A6"/>
    <w:rsid w:val="00084D32"/>
    <w:rsid w:val="000863CE"/>
    <w:rsid w:val="000876C8"/>
    <w:rsid w:val="000878D4"/>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0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28FA"/>
    <w:rsid w:val="001058AF"/>
    <w:rsid w:val="00106E42"/>
    <w:rsid w:val="00106EB9"/>
    <w:rsid w:val="00107883"/>
    <w:rsid w:val="001105A8"/>
    <w:rsid w:val="001133EE"/>
    <w:rsid w:val="001135BE"/>
    <w:rsid w:val="001154C5"/>
    <w:rsid w:val="001210C5"/>
    <w:rsid w:val="0012325F"/>
    <w:rsid w:val="00133F99"/>
    <w:rsid w:val="00135BEC"/>
    <w:rsid w:val="00135EC5"/>
    <w:rsid w:val="00141443"/>
    <w:rsid w:val="00141776"/>
    <w:rsid w:val="001427DD"/>
    <w:rsid w:val="00143108"/>
    <w:rsid w:val="00144988"/>
    <w:rsid w:val="00145AE7"/>
    <w:rsid w:val="00146D5A"/>
    <w:rsid w:val="0014744B"/>
    <w:rsid w:val="00147AF2"/>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095"/>
    <w:rsid w:val="00167832"/>
    <w:rsid w:val="001727B7"/>
    <w:rsid w:val="00173A19"/>
    <w:rsid w:val="00173E42"/>
    <w:rsid w:val="00173F45"/>
    <w:rsid w:val="00174871"/>
    <w:rsid w:val="001756F6"/>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2E05"/>
    <w:rsid w:val="001B3AB3"/>
    <w:rsid w:val="001B3CB2"/>
    <w:rsid w:val="001C0B6D"/>
    <w:rsid w:val="001C1921"/>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2EBA"/>
    <w:rsid w:val="002347C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5F7D"/>
    <w:rsid w:val="00296249"/>
    <w:rsid w:val="002A24B3"/>
    <w:rsid w:val="002A2A3E"/>
    <w:rsid w:val="002A3C79"/>
    <w:rsid w:val="002A5469"/>
    <w:rsid w:val="002A5646"/>
    <w:rsid w:val="002A564D"/>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D20B4"/>
    <w:rsid w:val="002D2976"/>
    <w:rsid w:val="002D2A67"/>
    <w:rsid w:val="002D2E47"/>
    <w:rsid w:val="002D3362"/>
    <w:rsid w:val="002D6DC2"/>
    <w:rsid w:val="002D728F"/>
    <w:rsid w:val="002D7DED"/>
    <w:rsid w:val="002E01EA"/>
    <w:rsid w:val="002E0BA3"/>
    <w:rsid w:val="002E34A1"/>
    <w:rsid w:val="002E3CF1"/>
    <w:rsid w:val="002E5D37"/>
    <w:rsid w:val="002E62E2"/>
    <w:rsid w:val="002E69D0"/>
    <w:rsid w:val="002E7BB9"/>
    <w:rsid w:val="002E7D2D"/>
    <w:rsid w:val="002F1240"/>
    <w:rsid w:val="002F1FCF"/>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4273"/>
    <w:rsid w:val="003964DC"/>
    <w:rsid w:val="003967FF"/>
    <w:rsid w:val="003975CB"/>
    <w:rsid w:val="003A3C7C"/>
    <w:rsid w:val="003A5B42"/>
    <w:rsid w:val="003A6462"/>
    <w:rsid w:val="003B239F"/>
    <w:rsid w:val="003B2DB0"/>
    <w:rsid w:val="003B4019"/>
    <w:rsid w:val="003B5326"/>
    <w:rsid w:val="003B75D4"/>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25DA"/>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31A1"/>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1E0E"/>
    <w:rsid w:val="005057D8"/>
    <w:rsid w:val="00507EE7"/>
    <w:rsid w:val="005104BC"/>
    <w:rsid w:val="00511D3D"/>
    <w:rsid w:val="00512244"/>
    <w:rsid w:val="00513BC1"/>
    <w:rsid w:val="00515041"/>
    <w:rsid w:val="005152E4"/>
    <w:rsid w:val="005166FC"/>
    <w:rsid w:val="0051671B"/>
    <w:rsid w:val="00517B31"/>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709B"/>
    <w:rsid w:val="005C04A5"/>
    <w:rsid w:val="005C05B2"/>
    <w:rsid w:val="005C06A1"/>
    <w:rsid w:val="005C4177"/>
    <w:rsid w:val="005C4EDE"/>
    <w:rsid w:val="005C5D82"/>
    <w:rsid w:val="005C77F0"/>
    <w:rsid w:val="005C7CC7"/>
    <w:rsid w:val="005D1DB7"/>
    <w:rsid w:val="005D2C6E"/>
    <w:rsid w:val="005D4136"/>
    <w:rsid w:val="005D7CBC"/>
    <w:rsid w:val="005E3357"/>
    <w:rsid w:val="005E3D29"/>
    <w:rsid w:val="005E5173"/>
    <w:rsid w:val="005F4599"/>
    <w:rsid w:val="005F7F74"/>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40D7"/>
    <w:rsid w:val="00676E83"/>
    <w:rsid w:val="00682ECE"/>
    <w:rsid w:val="006849A4"/>
    <w:rsid w:val="00686F51"/>
    <w:rsid w:val="00686FCF"/>
    <w:rsid w:val="0069154A"/>
    <w:rsid w:val="006924B5"/>
    <w:rsid w:val="00692A85"/>
    <w:rsid w:val="00694036"/>
    <w:rsid w:val="006A1259"/>
    <w:rsid w:val="006A2F63"/>
    <w:rsid w:val="006A3D0B"/>
    <w:rsid w:val="006A4734"/>
    <w:rsid w:val="006A4FE8"/>
    <w:rsid w:val="006A503E"/>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E6720"/>
    <w:rsid w:val="006F009C"/>
    <w:rsid w:val="006F0A10"/>
    <w:rsid w:val="006F7F97"/>
    <w:rsid w:val="00701CB1"/>
    <w:rsid w:val="007034D4"/>
    <w:rsid w:val="00703A65"/>
    <w:rsid w:val="007050B6"/>
    <w:rsid w:val="00705DA0"/>
    <w:rsid w:val="0071031C"/>
    <w:rsid w:val="007106C4"/>
    <w:rsid w:val="00711021"/>
    <w:rsid w:val="0071135F"/>
    <w:rsid w:val="007142B9"/>
    <w:rsid w:val="0072033B"/>
    <w:rsid w:val="0072154D"/>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FD7"/>
    <w:rsid w:val="007B4DA5"/>
    <w:rsid w:val="007B6C31"/>
    <w:rsid w:val="007C0462"/>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390"/>
    <w:rsid w:val="0080353A"/>
    <w:rsid w:val="008048A0"/>
    <w:rsid w:val="008057D3"/>
    <w:rsid w:val="00806BEE"/>
    <w:rsid w:val="00810E8B"/>
    <w:rsid w:val="00811F80"/>
    <w:rsid w:val="008154F2"/>
    <w:rsid w:val="00817A83"/>
    <w:rsid w:val="00823FDC"/>
    <w:rsid w:val="00824D59"/>
    <w:rsid w:val="008268D0"/>
    <w:rsid w:val="0083068F"/>
    <w:rsid w:val="00831B64"/>
    <w:rsid w:val="00831DE7"/>
    <w:rsid w:val="00832036"/>
    <w:rsid w:val="00832589"/>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064"/>
    <w:rsid w:val="00857951"/>
    <w:rsid w:val="00860C37"/>
    <w:rsid w:val="00860CBC"/>
    <w:rsid w:val="0086192F"/>
    <w:rsid w:val="00861CEF"/>
    <w:rsid w:val="00864B23"/>
    <w:rsid w:val="00866011"/>
    <w:rsid w:val="008669B9"/>
    <w:rsid w:val="00870D98"/>
    <w:rsid w:val="008723AD"/>
    <w:rsid w:val="00872655"/>
    <w:rsid w:val="00876278"/>
    <w:rsid w:val="0087740A"/>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2DA"/>
    <w:rsid w:val="008B6F28"/>
    <w:rsid w:val="008C0C20"/>
    <w:rsid w:val="008C273F"/>
    <w:rsid w:val="008C40F5"/>
    <w:rsid w:val="008C6ACD"/>
    <w:rsid w:val="008C70DE"/>
    <w:rsid w:val="008C7331"/>
    <w:rsid w:val="008D039B"/>
    <w:rsid w:val="008D0DE6"/>
    <w:rsid w:val="008D3136"/>
    <w:rsid w:val="008D321A"/>
    <w:rsid w:val="008E58CF"/>
    <w:rsid w:val="008E7CCB"/>
    <w:rsid w:val="008F03B7"/>
    <w:rsid w:val="008F20BD"/>
    <w:rsid w:val="008F2BB2"/>
    <w:rsid w:val="008F364F"/>
    <w:rsid w:val="008F3E1E"/>
    <w:rsid w:val="008F4297"/>
    <w:rsid w:val="008F63D3"/>
    <w:rsid w:val="008F6717"/>
    <w:rsid w:val="008F7A1B"/>
    <w:rsid w:val="009006E9"/>
    <w:rsid w:val="00901097"/>
    <w:rsid w:val="009020E8"/>
    <w:rsid w:val="00903B54"/>
    <w:rsid w:val="009066B2"/>
    <w:rsid w:val="00906778"/>
    <w:rsid w:val="009100F4"/>
    <w:rsid w:val="00914E3B"/>
    <w:rsid w:val="00916EFB"/>
    <w:rsid w:val="009172C5"/>
    <w:rsid w:val="00917794"/>
    <w:rsid w:val="00917F1C"/>
    <w:rsid w:val="00922D26"/>
    <w:rsid w:val="009263CE"/>
    <w:rsid w:val="00926AB2"/>
    <w:rsid w:val="00926ECE"/>
    <w:rsid w:val="009270AC"/>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1B6F"/>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1E7"/>
    <w:rsid w:val="00A03EC4"/>
    <w:rsid w:val="00A0469B"/>
    <w:rsid w:val="00A047E9"/>
    <w:rsid w:val="00A04FCA"/>
    <w:rsid w:val="00A05A4F"/>
    <w:rsid w:val="00A065E9"/>
    <w:rsid w:val="00A07E28"/>
    <w:rsid w:val="00A11606"/>
    <w:rsid w:val="00A11A34"/>
    <w:rsid w:val="00A14330"/>
    <w:rsid w:val="00A14D8F"/>
    <w:rsid w:val="00A15BDE"/>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60CA"/>
    <w:rsid w:val="00AB785E"/>
    <w:rsid w:val="00AC0A9A"/>
    <w:rsid w:val="00AC2861"/>
    <w:rsid w:val="00AC7ED6"/>
    <w:rsid w:val="00AC7F72"/>
    <w:rsid w:val="00AD2CB2"/>
    <w:rsid w:val="00AD3F16"/>
    <w:rsid w:val="00AD3F93"/>
    <w:rsid w:val="00AD4B5A"/>
    <w:rsid w:val="00AD59AE"/>
    <w:rsid w:val="00AD6547"/>
    <w:rsid w:val="00AD6E9C"/>
    <w:rsid w:val="00AD790F"/>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11D0"/>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3CC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2DA"/>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B4C"/>
    <w:rsid w:val="00BE50C0"/>
    <w:rsid w:val="00BE5CA7"/>
    <w:rsid w:val="00BE7BE7"/>
    <w:rsid w:val="00BE7C47"/>
    <w:rsid w:val="00BF1ABC"/>
    <w:rsid w:val="00BF20C3"/>
    <w:rsid w:val="00BF23C3"/>
    <w:rsid w:val="00BF2BE9"/>
    <w:rsid w:val="00BF4416"/>
    <w:rsid w:val="00BF62C6"/>
    <w:rsid w:val="00BF6FD5"/>
    <w:rsid w:val="00BF7612"/>
    <w:rsid w:val="00C004CB"/>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1898"/>
    <w:rsid w:val="00C56358"/>
    <w:rsid w:val="00C56413"/>
    <w:rsid w:val="00C56AC9"/>
    <w:rsid w:val="00C56C35"/>
    <w:rsid w:val="00C56FC6"/>
    <w:rsid w:val="00C61654"/>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471D"/>
    <w:rsid w:val="00CB4CBF"/>
    <w:rsid w:val="00CB6DBB"/>
    <w:rsid w:val="00CB7292"/>
    <w:rsid w:val="00CB7E88"/>
    <w:rsid w:val="00CC09AB"/>
    <w:rsid w:val="00CC0C50"/>
    <w:rsid w:val="00CC1085"/>
    <w:rsid w:val="00CC1E05"/>
    <w:rsid w:val="00CC2685"/>
    <w:rsid w:val="00CC412B"/>
    <w:rsid w:val="00CC668C"/>
    <w:rsid w:val="00CD33ED"/>
    <w:rsid w:val="00CD3EAA"/>
    <w:rsid w:val="00CD416C"/>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A92"/>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0C11"/>
    <w:rsid w:val="00DB14C5"/>
    <w:rsid w:val="00DB24CB"/>
    <w:rsid w:val="00DB27DC"/>
    <w:rsid w:val="00DB3742"/>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2E33"/>
    <w:rsid w:val="00DD3C23"/>
    <w:rsid w:val="00DD42CE"/>
    <w:rsid w:val="00DD6C6E"/>
    <w:rsid w:val="00DD73A1"/>
    <w:rsid w:val="00DE0922"/>
    <w:rsid w:val="00DE1B08"/>
    <w:rsid w:val="00DE1ECC"/>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40BF4"/>
    <w:rsid w:val="00E413A7"/>
    <w:rsid w:val="00E414A5"/>
    <w:rsid w:val="00E41CB8"/>
    <w:rsid w:val="00E43795"/>
    <w:rsid w:val="00E51C98"/>
    <w:rsid w:val="00E526D2"/>
    <w:rsid w:val="00E52F93"/>
    <w:rsid w:val="00E567A1"/>
    <w:rsid w:val="00E6045D"/>
    <w:rsid w:val="00E613A1"/>
    <w:rsid w:val="00E636E5"/>
    <w:rsid w:val="00E63785"/>
    <w:rsid w:val="00E65546"/>
    <w:rsid w:val="00E67F15"/>
    <w:rsid w:val="00E70F82"/>
    <w:rsid w:val="00E7116E"/>
    <w:rsid w:val="00E7148A"/>
    <w:rsid w:val="00E71728"/>
    <w:rsid w:val="00E73855"/>
    <w:rsid w:val="00E746B1"/>
    <w:rsid w:val="00E74F37"/>
    <w:rsid w:val="00E75F04"/>
    <w:rsid w:val="00E76A50"/>
    <w:rsid w:val="00E77EB4"/>
    <w:rsid w:val="00E820CA"/>
    <w:rsid w:val="00E85E25"/>
    <w:rsid w:val="00E862BC"/>
    <w:rsid w:val="00E87B2B"/>
    <w:rsid w:val="00E87F0E"/>
    <w:rsid w:val="00E921BB"/>
    <w:rsid w:val="00E922C5"/>
    <w:rsid w:val="00E92301"/>
    <w:rsid w:val="00E92557"/>
    <w:rsid w:val="00E97777"/>
    <w:rsid w:val="00EA1097"/>
    <w:rsid w:val="00EA30EF"/>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2D4A"/>
    <w:rsid w:val="00F3347E"/>
    <w:rsid w:val="00F36858"/>
    <w:rsid w:val="00F379DA"/>
    <w:rsid w:val="00F37D40"/>
    <w:rsid w:val="00F414E6"/>
    <w:rsid w:val="00F415E6"/>
    <w:rsid w:val="00F43160"/>
    <w:rsid w:val="00F43213"/>
    <w:rsid w:val="00F43ED8"/>
    <w:rsid w:val="00F45058"/>
    <w:rsid w:val="00F45BAF"/>
    <w:rsid w:val="00F5311D"/>
    <w:rsid w:val="00F540E2"/>
    <w:rsid w:val="00F563DA"/>
    <w:rsid w:val="00F57BA5"/>
    <w:rsid w:val="00F60BA0"/>
    <w:rsid w:val="00F62D27"/>
    <w:rsid w:val="00F63180"/>
    <w:rsid w:val="00F64AAA"/>
    <w:rsid w:val="00F65268"/>
    <w:rsid w:val="00F6672A"/>
    <w:rsid w:val="00F70706"/>
    <w:rsid w:val="00F70E52"/>
    <w:rsid w:val="00F726AF"/>
    <w:rsid w:val="00F73082"/>
    <w:rsid w:val="00F73D37"/>
    <w:rsid w:val="00F74A57"/>
    <w:rsid w:val="00F74F85"/>
    <w:rsid w:val="00F75AA5"/>
    <w:rsid w:val="00F77A93"/>
    <w:rsid w:val="00F80DDE"/>
    <w:rsid w:val="00F84A96"/>
    <w:rsid w:val="00F84F5D"/>
    <w:rsid w:val="00F8508E"/>
    <w:rsid w:val="00F8786A"/>
    <w:rsid w:val="00F95353"/>
    <w:rsid w:val="00F955B4"/>
    <w:rsid w:val="00F97685"/>
    <w:rsid w:val="00FA0D2D"/>
    <w:rsid w:val="00FA2D62"/>
    <w:rsid w:val="00FA324D"/>
    <w:rsid w:val="00FA4C0D"/>
    <w:rsid w:val="00FA5605"/>
    <w:rsid w:val="00FA5ED4"/>
    <w:rsid w:val="00FB09AB"/>
    <w:rsid w:val="00FB20E9"/>
    <w:rsid w:val="00FB2637"/>
    <w:rsid w:val="00FB2962"/>
    <w:rsid w:val="00FB2D53"/>
    <w:rsid w:val="00FB50CC"/>
    <w:rsid w:val="00FB52F4"/>
    <w:rsid w:val="00FB60DA"/>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BEF91-5D4D-463B-BD18-87648885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58</Pages>
  <Words>14355</Words>
  <Characters>81826</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26</cp:revision>
  <cp:lastPrinted>2022-02-02T07:43:00Z</cp:lastPrinted>
  <dcterms:created xsi:type="dcterms:W3CDTF">2022-02-03T11:38:00Z</dcterms:created>
  <dcterms:modified xsi:type="dcterms:W3CDTF">2022-02-03T13:44:00Z</dcterms:modified>
</cp:coreProperties>
</file>