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4C387B" w:rsidRDefault="004C387B" w:rsidP="004C387B">
      <w:pPr>
        <w:ind w:right="-2"/>
        <w:jc w:val="right"/>
        <w:rPr>
          <w:b/>
          <w:sz w:val="28"/>
          <w:szCs w:val="28"/>
        </w:rPr>
      </w:pPr>
      <w:r w:rsidRPr="004C387B">
        <w:rPr>
          <w:b/>
          <w:sz w:val="28"/>
          <w:szCs w:val="28"/>
        </w:rPr>
        <w:t>ПРОЕКТ</w:t>
      </w:r>
    </w:p>
    <w:p w:rsidR="00652B2C" w:rsidRPr="00537687" w:rsidRDefault="00652B2C" w:rsidP="00652B2C">
      <w:pPr>
        <w:ind w:right="-2" w:firstLine="1701"/>
        <w:rPr>
          <w:b/>
        </w:rPr>
      </w:pPr>
      <w:r w:rsidRPr="00537687">
        <w:tab/>
      </w:r>
      <w:r w:rsidRPr="00537687">
        <w:tab/>
      </w:r>
    </w:p>
    <w:p w:rsidR="004C387B" w:rsidRDefault="004C387B" w:rsidP="00652B2C">
      <w:pPr>
        <w:ind w:right="-2"/>
        <w:jc w:val="center"/>
        <w:rPr>
          <w:b/>
          <w:sz w:val="28"/>
        </w:rPr>
      </w:pPr>
      <w:r>
        <w:rPr>
          <w:noProof/>
        </w:rPr>
        <w:drawing>
          <wp:inline distT="0" distB="0" distL="0" distR="0">
            <wp:extent cx="819150" cy="838200"/>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387B" w:rsidRDefault="004C387B" w:rsidP="00652B2C">
      <w:pPr>
        <w:ind w:right="-2"/>
        <w:jc w:val="center"/>
        <w:rPr>
          <w:b/>
          <w:sz w:val="28"/>
        </w:rPr>
      </w:pPr>
    </w:p>
    <w:p w:rsidR="00652B2C" w:rsidRDefault="00652B2C" w:rsidP="00652B2C">
      <w:pPr>
        <w:ind w:right="-2"/>
        <w:jc w:val="center"/>
        <w:rPr>
          <w:b/>
          <w:sz w:val="28"/>
        </w:rPr>
      </w:pPr>
      <w:r>
        <w:rPr>
          <w:b/>
          <w:sz w:val="28"/>
        </w:rPr>
        <w:t>АДМИНИСТРАЦИЯ  ГОРОДСКОГО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 xml:space="preserve"> </w:t>
      </w:r>
      <w:r w:rsidR="009A471B">
        <w:rPr>
          <w:u w:val="single"/>
        </w:rPr>
        <w:t xml:space="preserve">                      </w:t>
      </w:r>
      <w:r w:rsidR="00C73E9C">
        <w:rPr>
          <w:u w:val="single"/>
        </w:rPr>
        <w:t xml:space="preserve">    </w:t>
      </w:r>
      <w:r w:rsidRPr="00537687">
        <w:t xml:space="preserve"> № </w:t>
      </w:r>
      <w:r w:rsidR="009A471B">
        <w:rPr>
          <w:u w:val="single"/>
        </w:rPr>
        <w:t xml:space="preserve">                    </w:t>
      </w:r>
      <w:r w:rsidR="009A471B" w:rsidRPr="009A471B">
        <w:rPr>
          <w:color w:val="FFFFFF" w:themeColor="background1"/>
          <w:u w:val="single"/>
        </w:rPr>
        <w:t xml:space="preserve">. </w:t>
      </w:r>
    </w:p>
    <w:p w:rsidR="001C5AD2" w:rsidRDefault="001C5AD2" w:rsidP="00652B2C">
      <w:pPr>
        <w:outlineLvl w:val="0"/>
      </w:pPr>
    </w:p>
    <w:p w:rsidR="00652B2C" w:rsidRDefault="00652B2C" w:rsidP="00652B2C">
      <w:pPr>
        <w:outlineLvl w:val="0"/>
        <w:rPr>
          <w:rFonts w:cs="Times New Roman"/>
          <w:b/>
        </w:rPr>
      </w:pPr>
      <w:r>
        <w:tab/>
      </w:r>
      <w:r>
        <w:tab/>
      </w:r>
      <w:r>
        <w:tab/>
      </w:r>
      <w:r>
        <w:tab/>
      </w:r>
      <w:r>
        <w:tab/>
      </w:r>
      <w:r>
        <w:tab/>
      </w:r>
      <w:r>
        <w:tab/>
      </w:r>
    </w:p>
    <w:p w:rsidR="00652B2C" w:rsidRPr="00DD3DAA" w:rsidRDefault="00652B2C" w:rsidP="00652B2C">
      <w:pPr>
        <w:jc w:val="center"/>
        <w:rPr>
          <w:rFonts w:cs="Times New Roman"/>
        </w:rPr>
      </w:pPr>
      <w:r w:rsidRPr="00DD3DAA">
        <w:rPr>
          <w:rFonts w:cs="Times New Roman"/>
        </w:rPr>
        <w:t xml:space="preserve">О прогнозе социально-экономического развития </w:t>
      </w:r>
    </w:p>
    <w:p w:rsidR="00652B2C" w:rsidRPr="00DD3DAA" w:rsidRDefault="00652B2C" w:rsidP="00652B2C">
      <w:pPr>
        <w:jc w:val="center"/>
        <w:rPr>
          <w:rFonts w:cs="Times New Roman"/>
        </w:rPr>
      </w:pPr>
      <w:r w:rsidRPr="00DD3DAA">
        <w:rPr>
          <w:rFonts w:cs="Times New Roman"/>
        </w:rPr>
        <w:t>городского округа Электросталь Московской области на 20</w:t>
      </w:r>
      <w:r w:rsidR="00E159AD">
        <w:rPr>
          <w:rFonts w:cs="Times New Roman"/>
        </w:rPr>
        <w:t>2</w:t>
      </w:r>
      <w:r w:rsidR="00C341BD">
        <w:rPr>
          <w:rFonts w:cs="Times New Roman"/>
        </w:rPr>
        <w:t>2</w:t>
      </w:r>
      <w:r w:rsidRPr="00DD3DAA">
        <w:rPr>
          <w:rFonts w:cs="Times New Roman"/>
        </w:rPr>
        <w:t>-202</w:t>
      </w:r>
      <w:r w:rsidR="00C341BD">
        <w:rPr>
          <w:rFonts w:cs="Times New Roman"/>
        </w:rPr>
        <w:t>4</w:t>
      </w:r>
      <w:r w:rsidRPr="00DD3DAA">
        <w:rPr>
          <w:rFonts w:cs="Times New Roman"/>
        </w:rPr>
        <w:t xml:space="preserve"> годы</w:t>
      </w:r>
    </w:p>
    <w:p w:rsidR="00652B2C" w:rsidRPr="00DD3DAA" w:rsidRDefault="00652B2C" w:rsidP="00652B2C">
      <w:pPr>
        <w:tabs>
          <w:tab w:val="center" w:pos="4677"/>
        </w:tabs>
        <w:ind w:firstLine="540"/>
        <w:jc w:val="both"/>
        <w:rPr>
          <w:rFonts w:cs="Times New Roman"/>
        </w:rPr>
      </w:pPr>
    </w:p>
    <w:p w:rsidR="00652B2C" w:rsidRPr="00D70E8F" w:rsidRDefault="00652B2C" w:rsidP="00652B2C">
      <w:pPr>
        <w:autoSpaceDE w:val="0"/>
        <w:autoSpaceDN w:val="0"/>
        <w:adjustRightInd w:val="0"/>
        <w:ind w:firstLine="540"/>
        <w:jc w:val="both"/>
        <w:rPr>
          <w:rFonts w:cs="Times New Roman"/>
          <w:kern w:val="16"/>
        </w:rPr>
      </w:pPr>
      <w:r w:rsidRPr="00D70E8F">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w:t>
      </w:r>
      <w:r w:rsidR="00207170" w:rsidRPr="004A2972">
        <w:rPr>
          <w:rFonts w:cs="Times New Roman"/>
        </w:rPr>
        <w:t>учитывая итоги общественного обсуждения проекта среднесрочного прогноза, проведенного с 0</w:t>
      </w:r>
      <w:r w:rsidR="00FB18A9">
        <w:rPr>
          <w:rFonts w:cs="Times New Roman"/>
        </w:rPr>
        <w:t>8</w:t>
      </w:r>
      <w:r w:rsidR="00207170" w:rsidRPr="004A2972">
        <w:rPr>
          <w:rFonts w:cs="Times New Roman"/>
        </w:rPr>
        <w:t>.</w:t>
      </w:r>
      <w:r w:rsidR="00207170" w:rsidRPr="008825CA">
        <w:rPr>
          <w:rFonts w:cs="Times New Roman"/>
        </w:rPr>
        <w:t>09</w:t>
      </w:r>
      <w:r w:rsidR="00207170">
        <w:rPr>
          <w:rFonts w:cs="Times New Roman"/>
        </w:rPr>
        <w:t>.2021 по 1</w:t>
      </w:r>
      <w:r w:rsidR="00FB18A9">
        <w:rPr>
          <w:rFonts w:cs="Times New Roman"/>
        </w:rPr>
        <w:t>8</w:t>
      </w:r>
      <w:r w:rsidR="00207170">
        <w:rPr>
          <w:rFonts w:cs="Times New Roman"/>
        </w:rPr>
        <w:t>.</w:t>
      </w:r>
      <w:r w:rsidR="00207170" w:rsidRPr="008825CA">
        <w:rPr>
          <w:rFonts w:cs="Times New Roman"/>
        </w:rPr>
        <w:t>09</w:t>
      </w:r>
      <w:r w:rsidR="00207170">
        <w:rPr>
          <w:rFonts w:cs="Times New Roman"/>
        </w:rPr>
        <w:t xml:space="preserve">.2021 </w:t>
      </w:r>
      <w:r w:rsidRPr="00D70E8F">
        <w:rPr>
          <w:rFonts w:cs="Times New Roman"/>
          <w:kern w:val="16"/>
        </w:rPr>
        <w:t xml:space="preserve">Администрация </w:t>
      </w:r>
      <w:r w:rsidRPr="00D70E8F">
        <w:rPr>
          <w:rFonts w:cs="Times New Roman"/>
          <w:color w:val="000000"/>
        </w:rPr>
        <w:t xml:space="preserve">городского округа Электросталь Московской области </w:t>
      </w:r>
      <w:r w:rsidR="00207170">
        <w:rPr>
          <w:rFonts w:cs="Times New Roman"/>
          <w:color w:val="000000"/>
        </w:rPr>
        <w:t xml:space="preserve"> </w:t>
      </w:r>
      <w:r w:rsidRPr="00D70E8F">
        <w:rPr>
          <w:rFonts w:cs="Times New Roman"/>
          <w:color w:val="000000"/>
        </w:rPr>
        <w:t>ПОСТАНОВЛЯЕТ:</w:t>
      </w:r>
    </w:p>
    <w:p w:rsidR="00652B2C" w:rsidRPr="00D70E8F" w:rsidRDefault="00652B2C" w:rsidP="00207170">
      <w:pPr>
        <w:pStyle w:val="ConsPlusNormal"/>
        <w:numPr>
          <w:ilvl w:val="0"/>
          <w:numId w:val="1"/>
        </w:numPr>
        <w:ind w:left="0" w:firstLine="540"/>
        <w:jc w:val="both"/>
        <w:rPr>
          <w:rFonts w:ascii="Times New Roman" w:hAnsi="Times New Roman" w:cs="Times New Roman"/>
          <w:sz w:val="24"/>
          <w:szCs w:val="24"/>
        </w:rPr>
      </w:pPr>
      <w:r w:rsidRPr="00D70E8F">
        <w:rPr>
          <w:rFonts w:ascii="Times New Roman" w:hAnsi="Times New Roman" w:cs="Times New Roman"/>
          <w:sz w:val="24"/>
          <w:szCs w:val="24"/>
        </w:rPr>
        <w:t>Одобрить прогноз социально-экономического развития городского округа Электросталь Московской обл</w:t>
      </w:r>
      <w:bookmarkStart w:id="0" w:name="_GoBack"/>
      <w:bookmarkEnd w:id="0"/>
      <w:r w:rsidRPr="00D70E8F">
        <w:rPr>
          <w:rFonts w:ascii="Times New Roman" w:hAnsi="Times New Roman" w:cs="Times New Roman"/>
          <w:sz w:val="24"/>
          <w:szCs w:val="24"/>
        </w:rPr>
        <w:t xml:space="preserve">асти на </w:t>
      </w:r>
      <w:r w:rsidR="00E159AD" w:rsidRPr="00D70E8F">
        <w:rPr>
          <w:rFonts w:ascii="Times New Roman" w:hAnsi="Times New Roman" w:cs="Times New Roman"/>
          <w:sz w:val="24"/>
          <w:szCs w:val="24"/>
        </w:rPr>
        <w:t>202</w:t>
      </w:r>
      <w:r w:rsidR="00C341BD">
        <w:rPr>
          <w:rFonts w:ascii="Times New Roman" w:hAnsi="Times New Roman" w:cs="Times New Roman"/>
          <w:sz w:val="24"/>
          <w:szCs w:val="24"/>
        </w:rPr>
        <w:t>2</w:t>
      </w:r>
      <w:r w:rsidR="00E159AD" w:rsidRPr="00D70E8F">
        <w:rPr>
          <w:rFonts w:ascii="Times New Roman" w:hAnsi="Times New Roman" w:cs="Times New Roman"/>
          <w:sz w:val="24"/>
          <w:szCs w:val="24"/>
        </w:rPr>
        <w:t>-202</w:t>
      </w:r>
      <w:r w:rsidR="00C341BD">
        <w:rPr>
          <w:rFonts w:ascii="Times New Roman" w:hAnsi="Times New Roman" w:cs="Times New Roman"/>
          <w:sz w:val="24"/>
          <w:szCs w:val="24"/>
        </w:rPr>
        <w:t>4</w:t>
      </w:r>
      <w:r w:rsidR="00E159AD" w:rsidRPr="00D70E8F">
        <w:rPr>
          <w:rFonts w:ascii="Times New Roman" w:hAnsi="Times New Roman" w:cs="Times New Roman"/>
          <w:sz w:val="24"/>
          <w:szCs w:val="24"/>
        </w:rPr>
        <w:t xml:space="preserve"> </w:t>
      </w:r>
      <w:r w:rsidRPr="00D70E8F">
        <w:rPr>
          <w:rFonts w:ascii="Times New Roman" w:hAnsi="Times New Roman" w:cs="Times New Roman"/>
          <w:sz w:val="24"/>
          <w:szCs w:val="24"/>
        </w:rPr>
        <w:t>годы согласно приложению к настоящему постановлению.</w:t>
      </w:r>
    </w:p>
    <w:p w:rsidR="00652B2C" w:rsidRPr="00D70E8F" w:rsidRDefault="00652B2C" w:rsidP="00207170">
      <w:pPr>
        <w:pStyle w:val="a3"/>
        <w:numPr>
          <w:ilvl w:val="0"/>
          <w:numId w:val="1"/>
        </w:numPr>
        <w:ind w:left="0" w:firstLine="540"/>
        <w:jc w:val="both"/>
      </w:pPr>
      <w:r w:rsidRPr="00D70E8F">
        <w:t>Финансовому управлению Администрации городского округа Электросталь Московской области составить проект бюджета городского округа Электр</w:t>
      </w:r>
      <w:r w:rsidR="00E159AD" w:rsidRPr="00D70E8F">
        <w:t>осталь Московской области на 202</w:t>
      </w:r>
      <w:r w:rsidR="00C341BD">
        <w:t>2</w:t>
      </w:r>
      <w:r w:rsidRPr="00D70E8F">
        <w:t xml:space="preserve"> год и на плановый период  202</w:t>
      </w:r>
      <w:r w:rsidR="00C341BD">
        <w:t>3</w:t>
      </w:r>
      <w:r w:rsidRPr="00D70E8F">
        <w:t xml:space="preserve"> и 202</w:t>
      </w:r>
      <w:r w:rsidR="00C341BD">
        <w:t>4</w:t>
      </w:r>
      <w:r w:rsidRPr="00D70E8F">
        <w:t xml:space="preserve"> годов на основе прогноза социально-экономического развития городского округа Электросталь Московской области на 20</w:t>
      </w:r>
      <w:r w:rsidR="007E163C">
        <w:t>2</w:t>
      </w:r>
      <w:r w:rsidR="00C341BD">
        <w:t>2</w:t>
      </w:r>
      <w:r w:rsidRPr="00D70E8F">
        <w:t>-202</w:t>
      </w:r>
      <w:r w:rsidR="00C341BD">
        <w:t>4</w:t>
      </w:r>
      <w:r w:rsidRPr="00D70E8F">
        <w:t xml:space="preserve"> годы.</w:t>
      </w:r>
    </w:p>
    <w:p w:rsidR="00652B2C" w:rsidRDefault="00652B2C" w:rsidP="00207170">
      <w:pPr>
        <w:pStyle w:val="a3"/>
        <w:numPr>
          <w:ilvl w:val="0"/>
          <w:numId w:val="1"/>
        </w:numPr>
        <w:ind w:left="0" w:firstLine="540"/>
        <w:jc w:val="both"/>
      </w:pPr>
      <w:r w:rsidRPr="00D70E8F">
        <w:t xml:space="preserve">Представить прогноз социально-экономического развития городского округа Электросталь Московской области  на </w:t>
      </w:r>
      <w:r w:rsidR="00124351" w:rsidRPr="00D70E8F">
        <w:t>202</w:t>
      </w:r>
      <w:r w:rsidR="00C341BD">
        <w:t>2</w:t>
      </w:r>
      <w:r w:rsidR="00124351" w:rsidRPr="00D70E8F">
        <w:t>-202</w:t>
      </w:r>
      <w:r w:rsidR="00C341BD">
        <w:t>4</w:t>
      </w:r>
      <w:r w:rsidR="00124351" w:rsidRPr="00D70E8F">
        <w:t xml:space="preserve"> </w:t>
      </w:r>
      <w:r w:rsidRPr="00D70E8F">
        <w:t>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w:t>
      </w:r>
      <w:r w:rsidR="00225058" w:rsidRPr="00D70E8F">
        <w:t>2</w:t>
      </w:r>
      <w:r w:rsidR="00C341BD">
        <w:t>2</w:t>
      </w:r>
      <w:r w:rsidRPr="00D70E8F">
        <w:t xml:space="preserve"> год и на плановый период  202</w:t>
      </w:r>
      <w:r w:rsidR="00C341BD">
        <w:t>3</w:t>
      </w:r>
      <w:r w:rsidRPr="00D70E8F">
        <w:t xml:space="preserve">  и 202</w:t>
      </w:r>
      <w:r w:rsidR="00C341BD">
        <w:t>4</w:t>
      </w:r>
      <w:r w:rsidRPr="00D70E8F">
        <w:t xml:space="preserve"> годов».</w:t>
      </w:r>
    </w:p>
    <w:p w:rsidR="00207170" w:rsidRDefault="00207170" w:rsidP="00207170">
      <w:pPr>
        <w:pStyle w:val="a3"/>
        <w:numPr>
          <w:ilvl w:val="0"/>
          <w:numId w:val="1"/>
        </w:numPr>
        <w:ind w:left="0" w:firstLine="540"/>
        <w:jc w:val="both"/>
      </w:pPr>
      <w:r>
        <w:t>Разместить</w:t>
      </w:r>
      <w:r w:rsidRPr="004A2972">
        <w:t xml:space="preserve"> настоящее постановление в информационно-телекоммуникационной сети «Интернет» по адресу: </w:t>
      </w:r>
      <w:hyperlink r:id="rId9" w:history="1">
        <w:r w:rsidRPr="00207170">
          <w:rPr>
            <w:rStyle w:val="af1"/>
            <w:color w:val="auto"/>
            <w:u w:val="none"/>
            <w:lang w:val="en-US"/>
          </w:rPr>
          <w:t>www</w:t>
        </w:r>
        <w:r w:rsidRPr="00207170">
          <w:rPr>
            <w:rStyle w:val="af1"/>
            <w:color w:val="auto"/>
            <w:u w:val="none"/>
          </w:rPr>
          <w:t>.</w:t>
        </w:r>
        <w:r w:rsidRPr="00207170">
          <w:rPr>
            <w:rStyle w:val="af1"/>
            <w:color w:val="auto"/>
            <w:u w:val="none"/>
            <w:lang w:val="en-US"/>
          </w:rPr>
          <w:t>electrostal</w:t>
        </w:r>
        <w:r w:rsidRPr="00207170">
          <w:rPr>
            <w:rStyle w:val="af1"/>
            <w:color w:val="auto"/>
            <w:u w:val="none"/>
          </w:rPr>
          <w:t>.</w:t>
        </w:r>
        <w:r w:rsidRPr="00207170">
          <w:rPr>
            <w:rStyle w:val="af1"/>
            <w:color w:val="auto"/>
            <w:u w:val="none"/>
            <w:lang w:val="en-US"/>
          </w:rPr>
          <w:t>ru</w:t>
        </w:r>
      </w:hyperlink>
      <w:r w:rsidRPr="004A2972">
        <w:t>.</w:t>
      </w:r>
    </w:p>
    <w:p w:rsidR="00207170" w:rsidRDefault="00207170" w:rsidP="00207170">
      <w:pPr>
        <w:pStyle w:val="a3"/>
        <w:numPr>
          <w:ilvl w:val="0"/>
          <w:numId w:val="1"/>
        </w:numPr>
        <w:ind w:left="0" w:firstLine="540"/>
        <w:jc w:val="both"/>
      </w:pPr>
      <w:r w:rsidRPr="004A2972">
        <w:t xml:space="preserve">Контроль за выполнением настоящего постановления возложить на </w:t>
      </w:r>
      <w:r>
        <w:t xml:space="preserve">первого </w:t>
      </w:r>
      <w:r w:rsidRPr="004A2972">
        <w:t xml:space="preserve">заместителя Главы  Администрации  городского   округа   Электросталь  Московской  области </w:t>
      </w:r>
      <w:r>
        <w:t>Печникову О.В.</w:t>
      </w:r>
    </w:p>
    <w:p w:rsidR="00207170" w:rsidRPr="004A2972" w:rsidRDefault="00207170" w:rsidP="00207170">
      <w:pPr>
        <w:pStyle w:val="a3"/>
        <w:numPr>
          <w:ilvl w:val="0"/>
          <w:numId w:val="1"/>
        </w:numPr>
        <w:ind w:left="0" w:firstLine="540"/>
        <w:jc w:val="both"/>
      </w:pPr>
      <w:r w:rsidRPr="004A2972">
        <w:t>Настоящее постановление вступает в силу после его подписания.</w:t>
      </w:r>
    </w:p>
    <w:p w:rsidR="00652B2C" w:rsidRPr="000955C9" w:rsidRDefault="00652B2C" w:rsidP="00652B2C">
      <w:pPr>
        <w:pStyle w:val="af"/>
        <w:rPr>
          <w:rFonts w:cs="Times New Roman"/>
        </w:rPr>
      </w:pPr>
    </w:p>
    <w:p w:rsidR="00124351" w:rsidRDefault="00124351" w:rsidP="00C341BD">
      <w:pPr>
        <w:pStyle w:val="af"/>
        <w:spacing w:after="0"/>
        <w:ind w:left="0"/>
        <w:rPr>
          <w:rFonts w:cs="Times New Roman"/>
        </w:rPr>
      </w:pPr>
      <w:r>
        <w:rPr>
          <w:rFonts w:cs="Times New Roman"/>
        </w:rPr>
        <w:t>Глав</w:t>
      </w:r>
      <w:r w:rsidR="00C341BD">
        <w:rPr>
          <w:rFonts w:cs="Times New Roman"/>
        </w:rPr>
        <w:t>а</w:t>
      </w:r>
      <w:r>
        <w:rPr>
          <w:rFonts w:cs="Times New Roman"/>
        </w:rPr>
        <w:t xml:space="preserve"> городского округа                                                                                    И.Ю.Волкова</w:t>
      </w:r>
    </w:p>
    <w:p w:rsidR="001C1308" w:rsidRDefault="001C1308" w:rsidP="00124351">
      <w:pPr>
        <w:pStyle w:val="af"/>
        <w:spacing w:after="0"/>
        <w:rPr>
          <w:rFonts w:cs="Times New Roman"/>
        </w:rPr>
      </w:pPr>
    </w:p>
    <w:p w:rsidR="006048BB" w:rsidRDefault="006048BB" w:rsidP="00124351">
      <w:pPr>
        <w:pStyle w:val="af"/>
        <w:spacing w:after="0"/>
        <w:rPr>
          <w:rFonts w:cs="Times New Roman"/>
        </w:rPr>
      </w:pPr>
    </w:p>
    <w:p w:rsidR="006048BB" w:rsidRDefault="006048BB" w:rsidP="00124351">
      <w:pPr>
        <w:pStyle w:val="af"/>
        <w:spacing w:after="0"/>
        <w:rPr>
          <w:rFonts w:cs="Times New Roman"/>
        </w:rPr>
      </w:pPr>
    </w:p>
    <w:p w:rsidR="006048BB" w:rsidRDefault="006048BB" w:rsidP="006048BB">
      <w:pPr>
        <w:pStyle w:val="af"/>
        <w:spacing w:after="0"/>
        <w:ind w:left="0"/>
        <w:rPr>
          <w:rFonts w:cs="Times New Roman"/>
        </w:rPr>
        <w:sectPr w:rsidR="006048BB" w:rsidSect="004C387B">
          <w:pgSz w:w="11906" w:h="16838"/>
          <w:pgMar w:top="426" w:right="850" w:bottom="1134" w:left="1701" w:header="708" w:footer="708" w:gutter="0"/>
          <w:cols w:space="708"/>
          <w:titlePg/>
          <w:docGrid w:linePitch="360"/>
        </w:sectPr>
      </w:pPr>
    </w:p>
    <w:tbl>
      <w:tblPr>
        <w:tblStyle w:val="af5"/>
        <w:tblW w:w="16061" w:type="dxa"/>
        <w:tblLayout w:type="fixed"/>
        <w:tblLook w:val="04A0" w:firstRow="1" w:lastRow="0" w:firstColumn="1" w:lastColumn="0" w:noHBand="0" w:noVBand="1"/>
      </w:tblPr>
      <w:tblGrid>
        <w:gridCol w:w="2972"/>
        <w:gridCol w:w="1505"/>
        <w:gridCol w:w="1047"/>
        <w:gridCol w:w="1005"/>
        <w:gridCol w:w="1215"/>
        <w:gridCol w:w="1229"/>
        <w:gridCol w:w="1418"/>
        <w:gridCol w:w="1262"/>
        <w:gridCol w:w="1431"/>
        <w:gridCol w:w="1418"/>
        <w:gridCol w:w="1559"/>
      </w:tblGrid>
      <w:tr w:rsidR="003E5490" w:rsidRPr="003E5490" w:rsidTr="00061DF3">
        <w:trPr>
          <w:trHeight w:val="465"/>
        </w:trPr>
        <w:tc>
          <w:tcPr>
            <w:tcW w:w="16061" w:type="dxa"/>
            <w:gridSpan w:val="11"/>
            <w:tcBorders>
              <w:top w:val="nil"/>
              <w:left w:val="nil"/>
              <w:right w:val="nil"/>
            </w:tcBorders>
            <w:hideMark/>
          </w:tcPr>
          <w:p w:rsidR="00FF6D0F" w:rsidRDefault="00FF6D0F" w:rsidP="00FF6D0F">
            <w:pPr>
              <w:pStyle w:val="af"/>
              <w:jc w:val="right"/>
              <w:rPr>
                <w:rFonts w:cs="Times New Roman"/>
                <w:b/>
                <w:sz w:val="18"/>
                <w:szCs w:val="20"/>
              </w:rPr>
            </w:pPr>
            <w:r>
              <w:rPr>
                <w:rFonts w:cs="Times New Roman"/>
                <w:b/>
                <w:sz w:val="18"/>
                <w:szCs w:val="20"/>
              </w:rPr>
              <w:lastRenderedPageBreak/>
              <w:t>ПРИЛОЖЕНИЕ</w:t>
            </w:r>
          </w:p>
          <w:p w:rsidR="00FF6D0F" w:rsidRDefault="00FF6D0F" w:rsidP="003E5490">
            <w:pPr>
              <w:pStyle w:val="af"/>
              <w:rPr>
                <w:rFonts w:cs="Times New Roman"/>
                <w:b/>
                <w:sz w:val="18"/>
                <w:szCs w:val="20"/>
              </w:rPr>
            </w:pPr>
          </w:p>
          <w:p w:rsidR="003E5490" w:rsidRPr="00061DF3" w:rsidRDefault="00061DF3" w:rsidP="003E5490">
            <w:pPr>
              <w:pStyle w:val="af"/>
              <w:rPr>
                <w:rFonts w:cs="Times New Roman"/>
                <w:b/>
                <w:sz w:val="20"/>
                <w:szCs w:val="20"/>
              </w:rPr>
            </w:pPr>
            <w:r w:rsidRPr="00061DF3">
              <w:rPr>
                <w:rFonts w:cs="Times New Roman"/>
                <w:b/>
                <w:sz w:val="18"/>
                <w:szCs w:val="20"/>
              </w:rPr>
              <w:t>Прогноз социально-экономического развития городского округа электросталь московской области на 2022-2024 годы</w:t>
            </w:r>
          </w:p>
        </w:tc>
      </w:tr>
      <w:tr w:rsidR="003E5490" w:rsidRPr="003E5490" w:rsidTr="003E5490">
        <w:trPr>
          <w:trHeight w:val="330"/>
        </w:trPr>
        <w:tc>
          <w:tcPr>
            <w:tcW w:w="2972" w:type="dxa"/>
            <w:vMerge w:val="restart"/>
            <w:hideMark/>
          </w:tcPr>
          <w:p w:rsidR="003E5490" w:rsidRPr="003E5490" w:rsidRDefault="003E5490" w:rsidP="003E5490">
            <w:pPr>
              <w:pStyle w:val="af"/>
              <w:rPr>
                <w:rFonts w:cs="Times New Roman"/>
                <w:bCs/>
                <w:sz w:val="20"/>
                <w:szCs w:val="20"/>
              </w:rPr>
            </w:pPr>
            <w:r w:rsidRPr="003E5490">
              <w:rPr>
                <w:rFonts w:cs="Times New Roman"/>
                <w:bCs/>
                <w:sz w:val="20"/>
                <w:szCs w:val="20"/>
              </w:rPr>
              <w:t>Показатели</w:t>
            </w:r>
          </w:p>
        </w:tc>
        <w:tc>
          <w:tcPr>
            <w:tcW w:w="1505" w:type="dxa"/>
            <w:vMerge w:val="restart"/>
            <w:hideMark/>
          </w:tcPr>
          <w:p w:rsidR="003E5490" w:rsidRPr="003E5490" w:rsidRDefault="003E5490" w:rsidP="003E5490">
            <w:pPr>
              <w:pStyle w:val="af"/>
              <w:ind w:left="34"/>
              <w:jc w:val="center"/>
              <w:rPr>
                <w:rFonts w:cs="Times New Roman"/>
                <w:bCs/>
                <w:sz w:val="20"/>
                <w:szCs w:val="20"/>
              </w:rPr>
            </w:pPr>
            <w:r w:rsidRPr="003E5490">
              <w:rPr>
                <w:rFonts w:cs="Times New Roman"/>
                <w:bCs/>
                <w:sz w:val="20"/>
                <w:szCs w:val="20"/>
              </w:rPr>
              <w:t>Единицы измерения</w:t>
            </w:r>
          </w:p>
        </w:tc>
        <w:tc>
          <w:tcPr>
            <w:tcW w:w="2052" w:type="dxa"/>
            <w:gridSpan w:val="2"/>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Отчет</w:t>
            </w:r>
          </w:p>
        </w:tc>
        <w:tc>
          <w:tcPr>
            <w:tcW w:w="1215" w:type="dxa"/>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Оценка</w:t>
            </w:r>
          </w:p>
        </w:tc>
        <w:tc>
          <w:tcPr>
            <w:tcW w:w="2647" w:type="dxa"/>
            <w:gridSpan w:val="2"/>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2022</w:t>
            </w:r>
          </w:p>
        </w:tc>
        <w:tc>
          <w:tcPr>
            <w:tcW w:w="2693" w:type="dxa"/>
            <w:gridSpan w:val="2"/>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2023</w:t>
            </w:r>
          </w:p>
        </w:tc>
        <w:tc>
          <w:tcPr>
            <w:tcW w:w="2977" w:type="dxa"/>
            <w:gridSpan w:val="2"/>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2024</w:t>
            </w:r>
          </w:p>
        </w:tc>
      </w:tr>
      <w:tr w:rsidR="003E5490" w:rsidRPr="003E5490" w:rsidTr="003E5490">
        <w:trPr>
          <w:trHeight w:val="990"/>
        </w:trPr>
        <w:tc>
          <w:tcPr>
            <w:tcW w:w="2972" w:type="dxa"/>
            <w:vMerge/>
            <w:hideMark/>
          </w:tcPr>
          <w:p w:rsidR="003E5490" w:rsidRPr="003E5490" w:rsidRDefault="003E5490" w:rsidP="003E5490">
            <w:pPr>
              <w:pStyle w:val="af"/>
              <w:rPr>
                <w:rFonts w:cs="Times New Roman"/>
                <w:bCs/>
                <w:sz w:val="20"/>
                <w:szCs w:val="20"/>
              </w:rPr>
            </w:pPr>
          </w:p>
        </w:tc>
        <w:tc>
          <w:tcPr>
            <w:tcW w:w="1505" w:type="dxa"/>
            <w:vMerge/>
            <w:hideMark/>
          </w:tcPr>
          <w:p w:rsidR="003E5490" w:rsidRPr="003E5490" w:rsidRDefault="003E5490" w:rsidP="003E5490">
            <w:pPr>
              <w:pStyle w:val="af"/>
              <w:ind w:left="34"/>
              <w:jc w:val="center"/>
              <w:rPr>
                <w:rFonts w:cs="Times New Roman"/>
                <w:bCs/>
                <w:sz w:val="20"/>
                <w:szCs w:val="20"/>
              </w:rPr>
            </w:pPr>
          </w:p>
        </w:tc>
        <w:tc>
          <w:tcPr>
            <w:tcW w:w="1047" w:type="dxa"/>
            <w:hideMark/>
          </w:tcPr>
          <w:p w:rsidR="003E5490" w:rsidRPr="003E5490" w:rsidRDefault="003E5490" w:rsidP="003E5490">
            <w:pPr>
              <w:pStyle w:val="af"/>
              <w:ind w:left="88"/>
              <w:jc w:val="center"/>
              <w:rPr>
                <w:rFonts w:cs="Times New Roman"/>
                <w:bCs/>
                <w:sz w:val="20"/>
                <w:szCs w:val="20"/>
              </w:rPr>
            </w:pPr>
            <w:r w:rsidRPr="003E5490">
              <w:rPr>
                <w:rFonts w:cs="Times New Roman"/>
                <w:bCs/>
                <w:sz w:val="20"/>
                <w:szCs w:val="20"/>
              </w:rPr>
              <w:t>2019</w:t>
            </w:r>
          </w:p>
        </w:tc>
        <w:tc>
          <w:tcPr>
            <w:tcW w:w="1005" w:type="dxa"/>
            <w:hideMark/>
          </w:tcPr>
          <w:p w:rsidR="003E5490" w:rsidRPr="003E5490" w:rsidRDefault="003E5490" w:rsidP="003E5490">
            <w:pPr>
              <w:pStyle w:val="af"/>
              <w:ind w:left="88"/>
              <w:jc w:val="center"/>
              <w:rPr>
                <w:rFonts w:cs="Times New Roman"/>
                <w:bCs/>
                <w:sz w:val="20"/>
                <w:szCs w:val="20"/>
              </w:rPr>
            </w:pPr>
            <w:r w:rsidRPr="003E5490">
              <w:rPr>
                <w:rFonts w:cs="Times New Roman"/>
                <w:bCs/>
                <w:sz w:val="20"/>
                <w:szCs w:val="20"/>
              </w:rPr>
              <w:t>2020</w:t>
            </w:r>
          </w:p>
        </w:tc>
        <w:tc>
          <w:tcPr>
            <w:tcW w:w="1215" w:type="dxa"/>
            <w:hideMark/>
          </w:tcPr>
          <w:p w:rsidR="003E5490" w:rsidRPr="003E5490" w:rsidRDefault="003E5490" w:rsidP="003E5490">
            <w:pPr>
              <w:pStyle w:val="af"/>
              <w:ind w:left="88"/>
              <w:jc w:val="center"/>
              <w:rPr>
                <w:rFonts w:cs="Times New Roman"/>
                <w:bCs/>
                <w:sz w:val="20"/>
                <w:szCs w:val="20"/>
              </w:rPr>
            </w:pPr>
            <w:r w:rsidRPr="003E5490">
              <w:rPr>
                <w:rFonts w:cs="Times New Roman"/>
                <w:bCs/>
                <w:sz w:val="20"/>
                <w:szCs w:val="20"/>
              </w:rPr>
              <w:t>2021</w:t>
            </w:r>
          </w:p>
        </w:tc>
        <w:tc>
          <w:tcPr>
            <w:tcW w:w="1229"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1 (консервативный)</w:t>
            </w:r>
          </w:p>
        </w:tc>
        <w:tc>
          <w:tcPr>
            <w:tcW w:w="1418"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2 (базовый)</w:t>
            </w:r>
          </w:p>
        </w:tc>
        <w:tc>
          <w:tcPr>
            <w:tcW w:w="1262"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1 (консервативный)</w:t>
            </w:r>
          </w:p>
        </w:tc>
        <w:tc>
          <w:tcPr>
            <w:tcW w:w="1431"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2 (базовый)</w:t>
            </w:r>
          </w:p>
        </w:tc>
        <w:tc>
          <w:tcPr>
            <w:tcW w:w="1418"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1 (консервативный)</w:t>
            </w:r>
          </w:p>
        </w:tc>
        <w:tc>
          <w:tcPr>
            <w:tcW w:w="1559"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2 (базовый)</w:t>
            </w:r>
          </w:p>
        </w:tc>
      </w:tr>
      <w:tr w:rsidR="003E5490" w:rsidRPr="003E5490" w:rsidTr="003E5490">
        <w:trPr>
          <w:trHeight w:val="330"/>
        </w:trPr>
        <w:tc>
          <w:tcPr>
            <w:tcW w:w="2972" w:type="dxa"/>
            <w:hideMark/>
          </w:tcPr>
          <w:p w:rsidR="003E5490" w:rsidRPr="00061DF3" w:rsidRDefault="003E5490" w:rsidP="003E5490">
            <w:pPr>
              <w:pStyle w:val="af"/>
              <w:ind w:left="171"/>
              <w:rPr>
                <w:rFonts w:cs="Times New Roman"/>
                <w:b/>
                <w:bCs/>
                <w:sz w:val="20"/>
                <w:szCs w:val="20"/>
              </w:rPr>
            </w:pPr>
            <w:r w:rsidRPr="00061DF3">
              <w:rPr>
                <w:rFonts w:cs="Times New Roman"/>
                <w:b/>
                <w:bCs/>
                <w:sz w:val="20"/>
                <w:szCs w:val="20"/>
              </w:rPr>
              <w:t>1. Демографические показатели</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00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163 901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160 337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159 360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158 290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158 960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157 410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158 811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156 730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158 811</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Число родившихся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1 286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1 303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1 222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1 115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1 260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1 201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1 328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1 215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1 343</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Общий коэффициент рождаемости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число родившихся на 1000 человек населения</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7,8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7,6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7,0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7,6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8,4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8,5</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Число умерших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2 183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2 534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2 648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2 622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2 589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2 656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2 573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2 694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2 573</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Общий коэффициент смертности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число умерших на 1000 человек населения</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13,3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15,6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16,6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16,5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16,8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16,2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17,2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16,2</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Естественный прирост (убыль) населения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-897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-1 231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-1 426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-1 507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-1 329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-1 455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-1 245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-1 479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-1 230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Коэффициент естественного прироста (убыли) населения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на 1000 человек населения</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-7,6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-8,9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-9,5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-9,2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-7,7</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Миграционный прирост (убыль) населения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-566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-2 335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449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437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929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575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1 096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799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1 230</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Общий прирост населения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-1 463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-3 566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-977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-1 070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-880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-149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-680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0</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(среднегодовая)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164 633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162 119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159 849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158 825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159 160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157 850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158 886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157 070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158 811</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lastRenderedPageBreak/>
              <w:t>по численности постоянного населения, в том числе в возрасте: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3E5490">
            <w:pPr>
              <w:pStyle w:val="af"/>
              <w:ind w:left="0"/>
              <w:rPr>
                <w:rFonts w:cs="Times New Roman"/>
                <w:sz w:val="20"/>
                <w:szCs w:val="20"/>
              </w:rPr>
            </w:pPr>
            <w:r w:rsidRPr="003E5490">
              <w:rPr>
                <w:rFonts w:cs="Times New Roman"/>
                <w:sz w:val="20"/>
                <w:szCs w:val="20"/>
              </w:rPr>
              <w:t> </w:t>
            </w:r>
          </w:p>
        </w:tc>
        <w:tc>
          <w:tcPr>
            <w:tcW w:w="1005" w:type="dxa"/>
            <w:noWrap/>
            <w:hideMark/>
          </w:tcPr>
          <w:p w:rsidR="003E5490" w:rsidRPr="003E5490" w:rsidRDefault="003E5490" w:rsidP="003E5490">
            <w:pPr>
              <w:pStyle w:val="af"/>
              <w:ind w:left="0"/>
              <w:rPr>
                <w:rFonts w:cs="Times New Roman"/>
                <w:sz w:val="20"/>
                <w:szCs w:val="20"/>
              </w:rPr>
            </w:pPr>
            <w:r w:rsidRPr="003E5490">
              <w:rPr>
                <w:rFonts w:cs="Times New Roman"/>
                <w:sz w:val="20"/>
                <w:szCs w:val="20"/>
              </w:rPr>
              <w:t> </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до 3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4 368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4 015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3 779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3 640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3 799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3 564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3 859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3 565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3 990</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от 3 до 7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8 824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8 537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8 336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7 845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7 871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7 361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7 416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6 925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7 000</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от 7 до 17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16 433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16 308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16 553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16 805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16 857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17 027</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17 141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17 168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17 335</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0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1 281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1 285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1 226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1 118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1 267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1 205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1 337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1 221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1 353</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1 493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1 260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1 289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1 229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1 234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1 124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1 277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1 213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1 348</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2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1 594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1 470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1 264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1 293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1 298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1 235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1 245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1 131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1 289</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3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1 728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1 569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1 475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1 269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1 274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1 299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1 309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1 244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1 258</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4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1 821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1 702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1 574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1 480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1 485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1 275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1 286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1 308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1 323</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5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1 800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1 795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1 707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1 579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1 585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1 486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1 497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1 284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1 300</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6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1 721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1 775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1 800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1 712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1 717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1 585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1 596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1 495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1 510</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7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1 754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1 696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1 780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1 805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1 810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1 716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1 728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1 609</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8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1 691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1 704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1 673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1 758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1 763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1 783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1 795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1 698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1 715</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9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1 581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1 644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1 683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1 652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1 657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1 738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1 749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1 765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1 782</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10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1 526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1 536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1 624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1 662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1 667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1 633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1 644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1 720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1 736</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lastRenderedPageBreak/>
              <w:t>Справочно: численность постоянного населения в возрасте 11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1 552</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1 480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1 515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1 603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1 608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1 643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1 653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1 615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1 631</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12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1 380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1 511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1 461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1 496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1 501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1 585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1 595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1 627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1 642</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13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1 381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1 339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1 492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1 443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1 447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1 479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1 488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1 569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1 584</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14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1 388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1 340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1 320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1 474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1 478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1 425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1 435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1 463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1 477</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15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1 417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1 346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1 321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1 301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1 306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1 456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1 466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1 409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1 423</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16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1 377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1 376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1 327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1 302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1 307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1 284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1 294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1 440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1 454</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17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1 386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1 336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1 357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1 309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1 313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1 285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1 294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1 268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1 282</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3. Промышленное производство</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51 943,7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52 536,4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47 967,0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48 122,7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49 432,4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48 719,1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51 212,2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49 592,2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53 336,3</w:t>
            </w:r>
          </w:p>
        </w:tc>
      </w:tr>
      <w:tr w:rsidR="003E5490" w:rsidRPr="003E5490" w:rsidTr="003E5490">
        <w:trPr>
          <w:trHeight w:val="163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 xml:space="preserve">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w:t>
            </w:r>
            <w:r w:rsidRPr="003E5490">
              <w:rPr>
                <w:rFonts w:cs="Times New Roman"/>
                <w:sz w:val="20"/>
                <w:szCs w:val="20"/>
              </w:rPr>
              <w:lastRenderedPageBreak/>
              <w:t>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lastRenderedPageBreak/>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107,1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101,1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91,3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101,2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104,1</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видам экономической деятельности по крупным и средним организациям (без организаций с численностью 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48 761,6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48 845,2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43 685,9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43 729,6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44 996,5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44 166,9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46 571,3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44 829,4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48 434,2</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 xml:space="preserve">Справочно: Темп роста объема отгруженных товаров собственного производства, выполненных работ и услуг собственными силами по виду деятельности </w:t>
            </w:r>
            <w:r w:rsidRPr="003E5490">
              <w:rPr>
                <w:rFonts w:cs="Times New Roman"/>
                <w:sz w:val="20"/>
                <w:szCs w:val="20"/>
              </w:rPr>
              <w:lastRenderedPageBreak/>
              <w:t>"Обрабатывающие производства"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lastRenderedPageBreak/>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105,3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100,2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89,4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2 355,1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2 800,1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3 458,0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3 561,7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3 596,3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3 704,2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3 776,1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3 889,4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4 002,7</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169,6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118,9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123,5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105,0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105,0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106,0</w:t>
            </w:r>
          </w:p>
        </w:tc>
      </w:tr>
      <w:tr w:rsidR="003E5490" w:rsidRPr="003E5490" w:rsidTr="003E5490">
        <w:trPr>
          <w:trHeight w:val="163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826,9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891,1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823,1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831,4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839,6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848,0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864,8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873,4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899,4</w:t>
            </w:r>
          </w:p>
        </w:tc>
      </w:tr>
      <w:tr w:rsidR="003E5490" w:rsidRPr="003E5490" w:rsidTr="003E5490">
        <w:trPr>
          <w:trHeight w:val="163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107,8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92,4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102,0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102,0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lastRenderedPageBreak/>
              <w:t>6. Транспорт</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Протяженность автомобильных дорог общего пользования с твердым типом покрытия местного значения, километр</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километр</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159,50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162,60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162,60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162,60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162,77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162,60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163,34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162,60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163,34</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7. Малое и среднее предпринимательство,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Число малых и средних предприятий, включая микропредприятия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2 017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1 935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1 895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1 910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1 925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1 936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1 975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1 986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2 068</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том числе,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2 000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1 918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1 879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1 894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1 908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1 920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1 958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1 969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2 050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8. Инвестиции</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3 431,93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3 768,87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3 985,00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3 750,00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4 080,00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3 710,00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4 190,00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3 510,00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4 250,00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 физического объема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62,8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100,6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89,3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97,2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93,8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97,3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89,7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96,1</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индекс-дефлятор цен</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107,1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105,1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105,4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105,3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105,5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105,5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105,5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105,6</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Инвестиции в основной капитал (без субъектов малого предпринимательства и параметров неформальной деятельности) из местных бюджетов</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114,27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44,16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15,00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29,65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38,05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37,13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61,95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2,05</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lastRenderedPageBreak/>
              <w:t>9. Строительство и жилищно-коммунальное хозяйство</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Объем работ, выполненных по виду экономической деятельности «Строительство» (Раздел F) по крупным и средним организациям (без организаций с численностью 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2 496,1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5 461,2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2 500,0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1 500,0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2 000,0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1 500,0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2 100,0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2 250,0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 производства по виду деятельности «Строительство» (Раздел F)</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245,8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211,2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44,2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57,5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76,8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96,0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96,0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102,5</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индекс-дефлятор цен</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106,5</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103,6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104,3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104,4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104,5</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Объем жилищного строительства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 общей площади</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30,47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15,81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39,21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8,90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15,66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7,70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6,40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33,66</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в том числе: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Ввод общей площади жилых домов, построенных населением</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 общей площади</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4,98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6,63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7,90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8,90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8,99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7,70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6,40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6,50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ввод жилья в многоквартирных жилых домах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 общей площади</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25,49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9,18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31,31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6,67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27,16</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Уровень обеспеченности населения жильем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кв. м на человека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21,80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22,32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22,70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22,91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22,86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23,04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22,93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23,18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23,14</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Жилищный фонд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3 573,1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3 578,7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3 617,9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3 626,8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3 633,6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3 626,8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3 641,3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3 633,3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3 675,0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12. Труд и заработная плата</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Количество созданных рабочих мест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240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311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700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250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350</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lastRenderedPageBreak/>
              <w:t>Справочно: Количество созданных рабочих мест в рамках действия институтов развития территорий (инновационных территориальных кластеров, индустриальных парков, технопарков</w:t>
            </w:r>
            <w:r w:rsidRPr="003E5490">
              <w:rPr>
                <w:rFonts w:cs="Times New Roman"/>
                <w:sz w:val="20"/>
                <w:szCs w:val="20"/>
              </w:rPr>
              <w:br/>
              <w:t>в сфере высоких технологий, особых экономических зон)</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500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том числе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инновационных территориальных кластерах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индустриальных парках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500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технопарках в сфере высоких технологий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особых экономических зонах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Численность официально зарегистрированных безработных,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674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1 741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727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712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666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641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530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546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337</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Фонд начисленной заработной платы всех работников</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23 530,0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24 310,8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24 890,9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25 749,8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26 660,0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26 738,2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28 362,5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27 862,4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29 897,0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фонда заработной платы</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102,4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107,1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106,4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105,4</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Фонд заработной платы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18 934,1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19 301,4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19 690,9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20 399,8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21 260,0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21 338,2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22 762,5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22 362,4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24 147,0</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101,9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102,0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108,0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107,1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106,1</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 xml:space="preserve">Справочно: Фонд заработной платы по малым </w:t>
            </w:r>
            <w:r w:rsidRPr="003E5490">
              <w:rPr>
                <w:rFonts w:cs="Times New Roman"/>
                <w:sz w:val="20"/>
                <w:szCs w:val="20"/>
              </w:rPr>
              <w:lastRenderedPageBreak/>
              <w:t>предприятиям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lastRenderedPageBreak/>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4 595,9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5 009,4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5 200,0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5 350,0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5 400,0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5 400,0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5 600,0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5 500,0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5 750,0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фонда заработной платы по малым предприятиям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109,4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109,0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102,9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102,7</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Среднемесячная номинальная начисленная заработная плата работников (по полному кругу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45 776,4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47 106,3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48 834,4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50 253,3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51 756,9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51 848,4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54 534,9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53 530,1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56 912,8</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среднемесячной номинальной начисленной заработной платы работников (по полному кругу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107,9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102,9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103,7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102,9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106,0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103,2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105,4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104,4</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Реальная заработная плата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100,2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98,5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99,0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99,2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99,3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100,3</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 потребительских цен за период с начала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соответствующему периоду предыдущего года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104,7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102,7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105,2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51 303,6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53 302,3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54 925,8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56 666,1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58 713,1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58 929,0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62 243,6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61 149,6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65 332,8</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108,1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106,9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106,0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105,0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заработная плата работников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31 704,6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32 534,5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34 391,5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35 105,0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35 294,1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35 156,3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36 274,1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35 529,7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36 927,1</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lastRenderedPageBreak/>
              <w:t>Справочно: Темп роста среднемесячной заработной платы работников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108,4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102,6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105,7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102,6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102,8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101,8</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Среднесписочная численность работников (без внешних совместителей) по полному кругу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42 835</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43 007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42 475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42 700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42 925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42 975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43 340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43 375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43 776</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среднесписочной численности работников (без внешних совместителей) по полному кругу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99,0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100,4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98,8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30 755</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30 176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29 875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30 000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30 175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30 175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30 475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30 475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30 800</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98,3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98,1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99,0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Среднесписочная численность работников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12 080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12 831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12 600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12 700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12 750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12 800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12 865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12 900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12 976</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среднесписочной численности работников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101,0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98,2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100,9</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 xml:space="preserve">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w:t>
            </w:r>
            <w:r w:rsidRPr="003E5490">
              <w:rPr>
                <w:rFonts w:cs="Times New Roman"/>
                <w:sz w:val="20"/>
                <w:szCs w:val="20"/>
              </w:rPr>
              <w:lastRenderedPageBreak/>
              <w:t>среднемесячному доходу от трудовой деятельности по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55 555,3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58 066,1</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62 305,3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65 856,7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66 194,6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69 874,0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70 556,9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74 136,3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75 230,8</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46 417,0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47 677,0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49 960,2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52 751,2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53 021,9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55 969,1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56 516,1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59 383,2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60 259,9</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51 910,0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52 820,0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54 499,6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номинальная начисленная заработная плата учителей в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58 091,4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58 675,4</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61 237,7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Образование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Среднемесячная номинальная начисленная заработная плата:</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педагогических работников общеобразовательных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51 548,8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52 759,5</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54 768,5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54 768,5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55 316,2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55 969,1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56 516,1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59 383,2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60 259,9</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педагогических работников дошкольных образовательных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51 570,3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52 665,0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54 499,6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55 044,6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55 044,6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55 044,6</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lastRenderedPageBreak/>
              <w:t>педагогических работников организаций дополнительного образования детей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63 937,3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59 805,9</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61 934,9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61 934,9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62 554,2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61 934,9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62 554,2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61 934,9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62 554,2</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Отношение средней заработной платы педагогических работников общеобразовательных организаций к среднемесячному доходу от трудовой деятельности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111,1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110,7</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109,6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99,3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99,7</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110,1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101,9</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101,1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Культура</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Среднемесячная номинальная начисленная заработная плата работников муниципальных учреждений культуры</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52 026,2</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49 576,1</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49 960,2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52 751,2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53 021,9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55 969,1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56 516,1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59 383,2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60 259,9</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Отношение средней заработной платы работников учреждений культуры к среднемесячному доходу от трудовой деятельности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112,1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104,0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14. Торговля и услуги</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lastRenderedPageBreak/>
              <w:t>Справочно: Обеспеченность населения площадью торговых объектов</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кв.метров на 1000 чел.</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1 643,7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1 718,5</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1 776,7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1 804,5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1 807,6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1 835,3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1 835,3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1 857,8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1 838,7</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Площадь торговых объектов предприятий розничной торговли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270,6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278,6</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284,0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286,6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287,7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289,7</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291,6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291,8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292,0</w:t>
            </w:r>
          </w:p>
        </w:tc>
      </w:tr>
      <w:tr w:rsidR="003E5490" w:rsidRPr="003E5490" w:rsidTr="003E5490">
        <w:trPr>
          <w:trHeight w:val="163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51,2</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51,2</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51,2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Оборот розничной торговли по крупным и средним организациям (без организаций с численностью 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в ценах соответствующих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24 662,8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27 267,6</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29 312,9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30 880,9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30 914,2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32 596,2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32 698,0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34 407,7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34 992,1</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 физического объема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106,7</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101,8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101,3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102,9</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индекс-дефлятор цен</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104,8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103,6</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105,6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104,1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17. Образование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Дошкольное образование: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Количество дошкольных образовательных муниципальных организаций, реализующих образовательные программы дошкольного образования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32</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lastRenderedPageBreak/>
              <w:t>Справочно: Число мест в дошкольных муниципальных образовательных организациях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7 493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7 134</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7 134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Общее образование: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Количество общеобразовательных муниципальных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23</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Число мест в муниципальных общеобразовательных организациях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19 429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19 429</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20 384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99,4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100,0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Общая численность обучающихся в государственных (муниципальных) общеобразовательных организациях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16,1</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16,3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16,5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16,6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16,8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17,0</w:t>
            </w:r>
          </w:p>
        </w:tc>
      </w:tr>
    </w:tbl>
    <w:p w:rsidR="006048BB" w:rsidRDefault="006048BB"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tbl>
      <w:tblPr>
        <w:tblStyle w:val="af5"/>
        <w:tblW w:w="16013" w:type="dxa"/>
        <w:tblLook w:val="04A0" w:firstRow="1" w:lastRow="0" w:firstColumn="1" w:lastColumn="0" w:noHBand="0" w:noVBand="1"/>
      </w:tblPr>
      <w:tblGrid>
        <w:gridCol w:w="5930"/>
        <w:gridCol w:w="3421"/>
        <w:gridCol w:w="3260"/>
        <w:gridCol w:w="3402"/>
      </w:tblGrid>
      <w:tr w:rsidR="00A26F69" w:rsidRPr="00D02E0D" w:rsidTr="004969A4">
        <w:trPr>
          <w:trHeight w:val="375"/>
        </w:trPr>
        <w:tc>
          <w:tcPr>
            <w:tcW w:w="16013" w:type="dxa"/>
            <w:gridSpan w:val="4"/>
            <w:tcBorders>
              <w:top w:val="nil"/>
              <w:left w:val="nil"/>
              <w:right w:val="nil"/>
            </w:tcBorders>
            <w:noWrap/>
            <w:hideMark/>
          </w:tcPr>
          <w:p w:rsidR="00A26F69" w:rsidRPr="004969A4" w:rsidRDefault="00A26F69" w:rsidP="00A26F69">
            <w:pPr>
              <w:pStyle w:val="af"/>
              <w:rPr>
                <w:rFonts w:cs="Times New Roman"/>
                <w:b/>
                <w:bCs/>
                <w:sz w:val="20"/>
                <w:szCs w:val="20"/>
              </w:rPr>
            </w:pPr>
            <w:r w:rsidRPr="004969A4">
              <w:rPr>
                <w:rFonts w:cs="Times New Roman"/>
                <w:b/>
                <w:bCs/>
                <w:sz w:val="20"/>
                <w:szCs w:val="20"/>
              </w:rPr>
              <w:t>Пояснительная записка к муниципальному прогнозу социально-экономического развития городского округа Электросталь Московской области на 2022-2024 годы</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показателя</w:t>
            </w:r>
          </w:p>
        </w:tc>
        <w:tc>
          <w:tcPr>
            <w:tcW w:w="10083" w:type="dxa"/>
            <w:gridSpan w:val="3"/>
            <w:hideMark/>
          </w:tcPr>
          <w:p w:rsidR="00A26F69" w:rsidRPr="00D02E0D" w:rsidRDefault="00A26F69" w:rsidP="00A26F69">
            <w:pPr>
              <w:pStyle w:val="af"/>
              <w:rPr>
                <w:rFonts w:cs="Times New Roman"/>
                <w:bCs/>
                <w:sz w:val="20"/>
                <w:szCs w:val="20"/>
              </w:rPr>
            </w:pPr>
            <w:r w:rsidRPr="00D02E0D">
              <w:rPr>
                <w:rFonts w:cs="Times New Roman"/>
                <w:bCs/>
                <w:sz w:val="20"/>
                <w:szCs w:val="20"/>
              </w:rPr>
              <w:t>Данные муниципальных образований</w:t>
            </w:r>
          </w:p>
        </w:tc>
      </w:tr>
      <w:tr w:rsidR="004969A4" w:rsidRPr="00D02E0D" w:rsidTr="00A26F69">
        <w:trPr>
          <w:trHeight w:val="390"/>
        </w:trPr>
        <w:tc>
          <w:tcPr>
            <w:tcW w:w="5930" w:type="dxa"/>
            <w:hideMark/>
          </w:tcPr>
          <w:p w:rsidR="004969A4" w:rsidRPr="00D02E0D" w:rsidRDefault="004969A4" w:rsidP="00A26F69">
            <w:pPr>
              <w:pStyle w:val="af"/>
              <w:rPr>
                <w:rFonts w:cs="Times New Roman"/>
                <w:bCs/>
                <w:sz w:val="20"/>
                <w:szCs w:val="20"/>
              </w:rPr>
            </w:pPr>
            <w:r w:rsidRPr="00D02E0D">
              <w:rPr>
                <w:rFonts w:cs="Times New Roman"/>
                <w:bCs/>
                <w:sz w:val="20"/>
                <w:szCs w:val="20"/>
              </w:rPr>
              <w:t>1. Демографические показатели</w:t>
            </w:r>
          </w:p>
        </w:tc>
        <w:tc>
          <w:tcPr>
            <w:tcW w:w="10083" w:type="dxa"/>
            <w:gridSpan w:val="3"/>
            <w:vMerge w:val="restart"/>
            <w:hideMark/>
          </w:tcPr>
          <w:p w:rsidR="004969A4" w:rsidRPr="00D02E0D" w:rsidRDefault="004969A4" w:rsidP="00A26F69">
            <w:pPr>
              <w:pStyle w:val="af"/>
              <w:rPr>
                <w:rFonts w:cs="Times New Roman"/>
                <w:sz w:val="20"/>
                <w:szCs w:val="20"/>
              </w:rPr>
            </w:pPr>
            <w:r w:rsidRPr="00D02E0D">
              <w:rPr>
                <w:rFonts w:cs="Times New Roman"/>
                <w:sz w:val="20"/>
                <w:szCs w:val="20"/>
              </w:rPr>
              <w:t> </w:t>
            </w:r>
          </w:p>
          <w:p w:rsidR="004969A4" w:rsidRPr="00D02E0D" w:rsidRDefault="004969A4" w:rsidP="00A26F69">
            <w:pPr>
              <w:pStyle w:val="af"/>
              <w:rPr>
                <w:rFonts w:cs="Times New Roman"/>
                <w:sz w:val="20"/>
                <w:szCs w:val="20"/>
              </w:rPr>
            </w:pPr>
            <w:r w:rsidRPr="00D02E0D">
              <w:rPr>
                <w:rFonts w:cs="Times New Roman"/>
                <w:sz w:val="20"/>
                <w:szCs w:val="20"/>
              </w:rPr>
              <w:t> </w:t>
            </w:r>
          </w:p>
          <w:p w:rsidR="004969A4" w:rsidRPr="00D02E0D" w:rsidRDefault="004969A4" w:rsidP="00A26F69">
            <w:pPr>
              <w:pStyle w:val="af"/>
              <w:ind w:left="194"/>
              <w:rPr>
                <w:rFonts w:cs="Times New Roman"/>
                <w:sz w:val="20"/>
                <w:szCs w:val="20"/>
              </w:rPr>
            </w:pPr>
            <w:r w:rsidRPr="00D02E0D">
              <w:rPr>
                <w:rFonts w:cs="Times New Roman"/>
                <w:sz w:val="20"/>
                <w:szCs w:val="20"/>
              </w:rPr>
              <w:t xml:space="preserve">Естественная убыль населения наблюдается на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1300 до 1500 детей в год. Ввиду естественной убыли населения, а также отрицательного миграционного прироста, сложившемся в 2020году численность населения городского округа Электросталь по состоянию на 01.01.2021 уменьшилась </w:t>
            </w:r>
          </w:p>
        </w:tc>
      </w:tr>
      <w:tr w:rsidR="004969A4" w:rsidRPr="00D02E0D" w:rsidTr="00A26F69">
        <w:trPr>
          <w:trHeight w:val="390"/>
        </w:trPr>
        <w:tc>
          <w:tcPr>
            <w:tcW w:w="5930" w:type="dxa"/>
            <w:hideMark/>
          </w:tcPr>
          <w:p w:rsidR="004969A4" w:rsidRPr="00D02E0D" w:rsidRDefault="004969A4" w:rsidP="00A26F69">
            <w:pPr>
              <w:pStyle w:val="af"/>
              <w:rPr>
                <w:rFonts w:cs="Times New Roman"/>
                <w:bCs/>
                <w:sz w:val="20"/>
                <w:szCs w:val="20"/>
              </w:rPr>
            </w:pPr>
            <w:r w:rsidRPr="00D02E0D">
              <w:rPr>
                <w:rFonts w:cs="Times New Roman"/>
                <w:bCs/>
                <w:sz w:val="20"/>
                <w:szCs w:val="20"/>
              </w:rPr>
              <w:t>Численность постоянного населения (на конец года)</w:t>
            </w:r>
          </w:p>
        </w:tc>
        <w:tc>
          <w:tcPr>
            <w:tcW w:w="10083" w:type="dxa"/>
            <w:gridSpan w:val="3"/>
            <w:vMerge/>
            <w:hideMark/>
          </w:tcPr>
          <w:p w:rsidR="004969A4" w:rsidRPr="00D02E0D" w:rsidRDefault="004969A4" w:rsidP="00A26F69">
            <w:pPr>
              <w:pStyle w:val="af"/>
              <w:ind w:left="194"/>
              <w:rPr>
                <w:rFonts w:cs="Times New Roman"/>
                <w:sz w:val="20"/>
                <w:szCs w:val="20"/>
              </w:rPr>
            </w:pPr>
          </w:p>
        </w:tc>
      </w:tr>
      <w:tr w:rsidR="004969A4" w:rsidRPr="00D02E0D" w:rsidTr="00A26F69">
        <w:trPr>
          <w:trHeight w:val="1260"/>
        </w:trPr>
        <w:tc>
          <w:tcPr>
            <w:tcW w:w="5930" w:type="dxa"/>
            <w:hideMark/>
          </w:tcPr>
          <w:p w:rsidR="004969A4" w:rsidRPr="00D02E0D" w:rsidRDefault="004969A4" w:rsidP="00A26F69">
            <w:pPr>
              <w:pStyle w:val="af"/>
              <w:rPr>
                <w:rFonts w:cs="Times New Roman"/>
                <w:sz w:val="20"/>
                <w:szCs w:val="20"/>
              </w:rPr>
            </w:pPr>
            <w:r w:rsidRPr="00D02E0D">
              <w:rPr>
                <w:rFonts w:cs="Times New Roman"/>
                <w:sz w:val="20"/>
                <w:szCs w:val="20"/>
              </w:rPr>
              <w:t>Основные демографические тенденции на территории муниципального образования</w:t>
            </w:r>
          </w:p>
        </w:tc>
        <w:tc>
          <w:tcPr>
            <w:tcW w:w="10083" w:type="dxa"/>
            <w:gridSpan w:val="3"/>
            <w:vMerge/>
            <w:hideMark/>
          </w:tcPr>
          <w:p w:rsidR="004969A4" w:rsidRPr="00D02E0D" w:rsidRDefault="004969A4" w:rsidP="00A26F69">
            <w:pPr>
              <w:pStyle w:val="af"/>
              <w:ind w:left="194"/>
              <w:rPr>
                <w:rFonts w:cs="Times New Roman"/>
                <w:sz w:val="20"/>
                <w:szCs w:val="20"/>
              </w:rPr>
            </w:pP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Рождаемость населения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409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снижения/роста рождаемости</w:t>
            </w:r>
          </w:p>
        </w:tc>
        <w:tc>
          <w:tcPr>
            <w:tcW w:w="3421" w:type="dxa"/>
            <w:hideMark/>
          </w:tcPr>
          <w:p w:rsidR="00A26F69" w:rsidRDefault="00A26F69" w:rsidP="00A26F69">
            <w:pPr>
              <w:pStyle w:val="af"/>
              <w:ind w:left="194"/>
              <w:rPr>
                <w:rFonts w:cs="Times New Roman"/>
                <w:sz w:val="20"/>
                <w:szCs w:val="20"/>
              </w:rPr>
            </w:pPr>
            <w:r w:rsidRPr="00D02E0D">
              <w:rPr>
                <w:rFonts w:cs="Times New Roman"/>
                <w:sz w:val="20"/>
                <w:szCs w:val="20"/>
              </w:rPr>
              <w:t>Введение дополнительных мер государственной поддержки рождений,  в том числе со стороны Московской области, способствовали повышению коэффициентов рождаемости в 2020 году. Сохранить высокий уровень рождаемости удается благодаря системной работе, направленной на снижение числа прерываний незапланированной беременности (абортов), увеличение количества процедур экстракорпорального оплодотворения, внедрение новых медицинских технологий по организации оказания медицинской помощи в учреждениях родовспоможения, реализации мер поддержки молодых семей из регионального бюджета, ориентированной на повышение рождаемости.</w:t>
            </w:r>
          </w:p>
          <w:p w:rsidR="004969A4" w:rsidRDefault="004969A4" w:rsidP="00A26F69">
            <w:pPr>
              <w:pStyle w:val="af"/>
              <w:ind w:left="194"/>
              <w:rPr>
                <w:rFonts w:cs="Times New Roman"/>
                <w:sz w:val="20"/>
                <w:szCs w:val="20"/>
              </w:rPr>
            </w:pPr>
          </w:p>
          <w:p w:rsidR="004969A4" w:rsidRDefault="004969A4" w:rsidP="00A26F69">
            <w:pPr>
              <w:pStyle w:val="af"/>
              <w:ind w:left="194"/>
              <w:rPr>
                <w:rFonts w:cs="Times New Roman"/>
                <w:sz w:val="20"/>
                <w:szCs w:val="20"/>
              </w:rPr>
            </w:pPr>
          </w:p>
          <w:p w:rsidR="004969A4" w:rsidRDefault="004969A4" w:rsidP="00A26F69">
            <w:pPr>
              <w:pStyle w:val="af"/>
              <w:ind w:left="194"/>
              <w:rPr>
                <w:rFonts w:cs="Times New Roman"/>
                <w:sz w:val="20"/>
                <w:szCs w:val="20"/>
              </w:rPr>
            </w:pPr>
          </w:p>
          <w:p w:rsidR="004969A4" w:rsidRDefault="004969A4" w:rsidP="00A26F69">
            <w:pPr>
              <w:pStyle w:val="af"/>
              <w:ind w:left="194"/>
              <w:rPr>
                <w:rFonts w:cs="Times New Roman"/>
                <w:sz w:val="20"/>
                <w:szCs w:val="20"/>
              </w:rPr>
            </w:pPr>
          </w:p>
          <w:p w:rsidR="004969A4" w:rsidRPr="00D02E0D" w:rsidRDefault="004969A4" w:rsidP="00A26F69">
            <w:pPr>
              <w:pStyle w:val="af"/>
              <w:ind w:left="194"/>
              <w:rPr>
                <w:rFonts w:cs="Times New Roman"/>
                <w:sz w:val="20"/>
                <w:szCs w:val="20"/>
              </w:rPr>
            </w:pPr>
          </w:p>
        </w:tc>
        <w:tc>
          <w:tcPr>
            <w:tcW w:w="3260" w:type="dxa"/>
            <w:hideMark/>
          </w:tcPr>
          <w:p w:rsidR="00A26F69" w:rsidRPr="00D02E0D" w:rsidRDefault="00A26F69" w:rsidP="00A26F69">
            <w:pPr>
              <w:pStyle w:val="af"/>
              <w:ind w:left="34"/>
              <w:rPr>
                <w:rFonts w:cs="Times New Roman"/>
                <w:sz w:val="20"/>
                <w:szCs w:val="20"/>
              </w:rPr>
            </w:pPr>
            <w:r w:rsidRPr="00D02E0D">
              <w:rPr>
                <w:rFonts w:cs="Times New Roman"/>
                <w:sz w:val="20"/>
                <w:szCs w:val="20"/>
              </w:rPr>
              <w:t>В условиях распространения новой коронавирусной инфекции (COVID-2019) – неопределенности влияния вируса на течение беременности и как следствие откладывание планирования беременности, а также нестабильности экономической ситуации, опасений по поводу ухудшения уровня жизни (вероятность наступления новой коронавирусной инфекции (COVID-2019)  к концу 2021 года ожидается снижение уровня рождаемости. За январь – май 2021 года в городском округе Электросталь родилось 463 ребенка, что на 60 детей меньше, чем за аналогичный период 2020 года.</w:t>
            </w:r>
          </w:p>
        </w:tc>
        <w:tc>
          <w:tcPr>
            <w:tcW w:w="3402" w:type="dxa"/>
            <w:hideMark/>
          </w:tcPr>
          <w:p w:rsidR="00A26F69" w:rsidRPr="00D02E0D" w:rsidRDefault="00A26F69" w:rsidP="00A26F69">
            <w:pPr>
              <w:pStyle w:val="af"/>
              <w:ind w:left="194"/>
              <w:rPr>
                <w:rFonts w:cs="Times New Roman"/>
                <w:sz w:val="20"/>
                <w:szCs w:val="20"/>
              </w:rPr>
            </w:pPr>
            <w:r w:rsidRPr="00D02E0D">
              <w:rPr>
                <w:rFonts w:cs="Times New Roman"/>
                <w:sz w:val="20"/>
                <w:szCs w:val="20"/>
              </w:rPr>
              <w:t>В прогнозном периоде 2022-2024 годов ожидается незначительный рост рождаемости, что обусловлено следующими основными причинами: снижение количества женщин фертильного возраста в активном детородном периоде, приостановление проведения процедур экстракорпорального оплодотворения в связи с ограничительными эпидемиологическими мерами, связанные с распространением новой коронавирусной инфекции COVID-2019. Однако, последовательная реализация мероприятий по поддержке материнства и детства, позволит рассчитывать на формирование положительной динамики рождаемости по второму варианту прогноза.</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lastRenderedPageBreak/>
              <w:t>Смертность населения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33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снижения/роста смертности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Увеличение смертности обусловлено циркуляцией коронавирусной инфекции, которая приводит к обострению заболеваний сердечно-сосудистой системы. Новый штамм коронавируса спровоцировал более тяжелое течение заболевания COVID-19</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Сложившаяся эпидемиологическая ситуация скорректировала оценку демографической ситуации. В январе-мае 2021 года наблюдались самые высокие значения смертности населения  в городском округе Электросталь, по сравнению с аналогичным периодом нескольких последних лет. За январь-май 2021 года смертность составила 1054 человека, в 2020 году за аналогичный период умерло 966 человек, в 2019 – 903 человека.</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На протяжении всего прогнозного периода сохраняется высокая смертность. Наращивание мощностей учреждений здравоохранения по борьбе с новой коронавирусной инфекцией (COVID-2019), совершенствование медицинской помощи, и проводимая профилактическая работа в 2021 году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увеличить ожидаемую продолжительность жизни к 2024 году.</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Миграционный прирост (убыль) населения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195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снижения/роста миграционного потока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Эпидемия COVID-19, особенно негативно повлияла на миграционный прирост. В 2019 и в 2020 году миграционный прирос отрицательный.  Данная ситуация обусловлена последствиями вводимых ограничений по перемещению населения, опасением населения к распространению новой коронавирусной инфекции (COVID-2019).</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Положительная миграция в 2021 году обусловлена созданием новых рабочих мест в связи с открытием на территории городского округа Электросталь центра омниканальной торговли «Вайлдберриз» (первая очередь).</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Большое влияние на рост населения, пребывающего на территорию городского округа может оказать выход на проектную мощность предприятия по выращиванию грибоводческой продукции ООО «Торговый дом «Богородские овощи», также открытие второй и третьей очереди центра омниканальной торговли «Вайлдберриз».</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3. Промышленное производство</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50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477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Причины увеличения/снижения промышленного производства по крупным и средним организациям (без организаций с численностью работающих менее 15 человек)</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ПАО «Машиностроительный завод», ОАО «Металлургический завод «Электросталь»,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Особое влияние на динамику показателя оказывают крупнейшие предприятия городского округа Электросталь ПАО «МСЗ» (объем отгруженной продукции за 2020 год составил 18,13 млрд.руб.),  АО МЗ «Электросталь» (объем отгруженной продукции за 2020 год 13,18 млрд.руб.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Крупнейшие предприятия городского округа Электросталь оценивают объем  отгруженной за  2021 год  в следующих значениях: ПАО «МСЗ» - 15,4 млрд.руб., АО МЗ «Электросталь»- 14 млрд.руб., ОАО «ЭЗТМ» 2,9 млрд.руб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На прогнозный период 2022-2024 годов планируется умеренный рост объема отгруженной продукции промышленного производства.  Причина умеренного невысокого роста обусловлена тем, что на территории городского округа не планируется ввод в эксплуатацию новых промышленных предприятий. Динамичное развитие действующего промышленного производства обусловлено углублением процессов модернизации,  повышением эффективности использования ресурсов предприятий, увеличением загрузки производственных мощностей. Наибольшим потенциалом обладают предприятия обрабатывающего производства, которые  формируют более 90% объем отгруженной продукции, выпускаемой на территории городского округа Электросталь.</w:t>
            </w:r>
          </w:p>
        </w:tc>
      </w:tr>
      <w:tr w:rsidR="00A26F69" w:rsidRPr="00D02E0D" w:rsidTr="00A26F69">
        <w:trPr>
          <w:trHeight w:val="150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 xml:space="preserve">Объем отгруженных товаров собственного производства, выполненных работ и услуг собственными силами по крупным и средним организациям (без организаций с численностью работающих менее 15 человек) по промышленным видам деятельности: </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"Добыча полезных ископаемых"</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67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промышленного производства в данной отрасли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По данному ОКВЭДу промышленные предприятия отсутствуют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По данному ОКВЭДу промышленные предприятия отсутствуют</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По данному ОКВЭДу промышленные предприятия отсутствуют</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"Обрабатывающие производства"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286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Причины увеличения/снижения промышленного производства в данной отрасли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Особое влияние на динамику показателя оказывают крупнейшие предприятия городского округа Электросталь ПАО «МСЗ» (объем отгруженной продукции за 2020 год составил 18,13 млрд.руб.),  АО МЗ «Электросталь» (объем отгруженной продукции за 2020 год 13,18 млрд.руб.)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Крупнейшие предприятия городского округа Электросталь оценивают объем  отгруженной за  2021 год  в следующих значениях: ПАО «МСЗ» - 15,4 млрд.руб., АО МЗ «Электросталь»- 14 млрд.руб., ОАО «ЭЗТМ» 2,9 млрд.руб. ПАО «МСЗ» в 2021 году снижает объем отгруженной продукции, следователь и общий объем оценивается к снижению.</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На прогнозный период 2022-2024 годов планируется умеренный рост объема отгруженной продукции промышленного производства.  Причина умеренного невысокого роста обусловлена тем, что на территории городского округа не планируется ввод в эксплуатацию новых промышленных предприятий. Крупнейшие предприятия городского округа Электросталь планируют умеренный рост  отгруженной продукции:  ПАО «МСЗ» - в среднем  106%,  АО МЗ «Электросталь»- 104%, ОАО «ЭЗТМ» - 106%.</w:t>
            </w: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60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Причины увеличения/снижения промышленного производства в данной отрасли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В отчетном периоде крупными и средними предприятиями по данному виду деятельности отгружено продукции на 18,9 % больше, чем за 2019 год. Причина – увеличение потребителей продукции. Ввод в эксплуатацию многоквартирных жилых домов (общая площадь жилых помещений, введенная в действие  в 2020 году составила 15,81 тыс. кв. м), учреждений образования (общеобразовательная школа на 825 мест, пристройка к зданию школы на 100 мест), ввод в эксплуатацию торгово-офисных зданий (площадь торговых объектов увеличилась в 2020 году на 8 тыс.кв.метров).</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В январе – июне 2021 года крупными и средними предприятиями по данному виду деятельности отгружено продукции на 1 748,8 млн.руб., темп роста по сравнению с аналогичным периодом 2020 года 121,9%. Крупнейшие предприятия городского округа по производству тепловой энергии ООО "Глобус" и АО ВКС показали рост отгруженной продукции в январе-июне 2021 года, следовательно общий объем отгруженной продукции по данному виду деятельности покажет рост в 2021 году (оценочно).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прогнозном периоде планируется умеренный рост объема отгруженной продукции по данному виду деятельности. Крупнейшие предприятия городского округа по производству тепловой энергии ООО "Глобус" и АО ВКС прогнозируют рост отгруженной продукции. Причина - ввод в эксплуатацию жилых домов, торгово-офисных центров, а также рост тарифов на выпускаемую продукцию.</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78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промышленного производства в данной отрасли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В отчетном периоде крупными и средними предприятиями по данному виду деятельности отгружено продукции на 7,8 % больше, чем за 2019 год. Причина – увеличение потребителей продукции. Ввод в эксплуатацию многоквартирных жилых домов (общая площадь жилых помещений, введенная в действие  в 2020 году составила 15,81 тыс. кв. м), учреждений образования (общеобразовательная школа на 825 мест, пристройка к зданию школы на 100 мест), ввод в эксплуатацию торгово-офисных зданий (площадь торговых объектов увеличилась в 2020 году на 8 тыс.кв.метров).</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В январе – июне 2021 года крупными и средними предприятиями по данному виду деятельности отгружено продукции на 385,48 млн.руб., снижение по сравнению с аналогичным периодом 2020 года на 5,5%. Крупнейшее предприятие городского округа по  забору, очистке и распределению воды Филиал ГУА МО КСМО показало снижение отгруженной продукции в январе-июне 2021 года, следовательно общий объем отгруженной продукции по данному виду деятельности покажет снижение  в 2021 году (оценочно)..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прогнозном периоде планируется умеренный рост объема отгруженной продукции по данному виду деятельности. Крупнейшее предприятие городского округа по забору, очистке и распределению воды Филиал ГУА МО КСМО прогнозирует рост отгруженной продукции. Причина - ввод в эксплуатацию жилых домов, торгово-офисных центров, а также рост тарифов на выпускаемую продукцию.</w:t>
            </w:r>
          </w:p>
        </w:tc>
      </w:tr>
      <w:tr w:rsidR="00A26F69" w:rsidRPr="00D02E0D" w:rsidTr="00A26F69">
        <w:trPr>
          <w:trHeight w:val="177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lastRenderedPageBreak/>
              <w:t>Предприятия, оказывающие существенное влияние на динамику промышленного производства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Основной вид производимой продукции</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Планы развития предприятия (модернизация, ввод новых линий производства, заключение соглашений/контрактов, сокращение производства, ликвидация)</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В: добыча полезных ископаемых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10 Производство пищевых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"ГЛОБАЛ СНЕК"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снеки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4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"Бета Гида"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осуществляет фасовку чая и кофе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11 Производство напитков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13 Производство текстильных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14 Производство одежды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"ФИРМА Черемушки"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нательного белья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"Отдых"</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Пошив спецодежды для промышленных предприятий</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15 Производство кожи и изделий из кожи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"Элеон Дом"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Переработка древесины</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17 Производство бумаги и бумажных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18 Деятельность полиграфическая и копирование носителей информации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"Отдых"</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Прочие виды полиграфической деятельности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19 Производство кокса и нефтепродуктов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95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20 Производство химических веществ и химических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ПАО "Машиностроительный завод"</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Крупнейшее системообразующее предприятие городского округа Электросталь ПАО «МСЗ» производит ядерное топливо для атомных электростанций. Предприятие  входит в состав ТК «ТВЭЛ» Госкорпарации «Росатом»</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Реконструкция и модернизация предприятия атомной отрасли ПАО «Машиностроительный завод». Проект подразумевает: развитие ядерного производства; развитие инфраструктуры, инженерных коммуникаций и социальной сферы; выполнение мероприятий по федеральным целевым программам </w:t>
            </w:r>
          </w:p>
        </w:tc>
      </w:tr>
      <w:tr w:rsidR="00A26F69" w:rsidRPr="00D02E0D" w:rsidTr="00A26F69">
        <w:trPr>
          <w:trHeight w:val="126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"ЭХМЗ им.Н.Д.Зелинского"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Системообразующее предприятие городского округа Электросталь, производит средства индивидуальной и коллективной защиты от оружия массового поражения и химически опасных веществ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21 Производство лекарственных средств и материалов, применяемых в медицинских целях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22 Производство резиновых и пластмассовых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"Полимер"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прочих пластмассовых изделий</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23 Производство прочей неметаллической минеральной продукции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"ГлассТехнолоджис"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стеклянные изделия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48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24 Производство металлургическое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стали в слитках, способен выплавлять более 2000 марок высококачественной стали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и техническое перевооружение металлургического производства АО «Металлургический завод «Электросталь». Проект подразумевает: приобретение оборудования для изготовления оснастки и инструмента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25 Производство готовых металлических изделий, кроме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"Русинокс"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производит нержавеющие трубы</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26 Производство компьютеров, электронных и оптических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27 Производство электрического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"Элемаш Магнит"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производит электрическое оборудование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28 Производство машин и оборудования, не включенных в другие группировки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"ЭЗТМ"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машин и оборудования для трубной, горнодобывающей и цементной промышленности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29 Производство автотранспортных средств, прицепов и полуприцепов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30 Производство прочих транспортных средств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31 Производство мебели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"Дебют"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мебель на металлокаркасе, офисные кресла, стулья, и пр.</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48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ИП Вострухин М.С.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предметы интерьера и мебели, которые имеют большой спрос не только на территории городского округа , но, и в целом по Московской области и Российской Федерации. Сеть магазинов данного предприятия - "Империя Богаччо"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32 Производство прочих готовых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"Гласс Технолоджис"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полые стеклянные изделия.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26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"МСЗ - Механика"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является дочерним предприятием ПАО "МСЗ", входит в состав ТК "ТВЭЛ" Госкорпарации "Росатом". Производит  нестандартизированное оборудование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33 Ремонт и монтаж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Забор, очистка и распределение воды</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D: 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пара и горячей воды (тепловой энергии)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ВКС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пара и горячей воды (тепловой энергии)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Е: 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Филиал ГУА МО КСМО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Забор, очистка и распределение воды</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6. Транспорт</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Протяженность автомобильных дорог общего пользования с твердым типом покрытия местного значения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67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Основные мероприятия по строительству и реконструкции объектов дорожно-транспортной инфраструктуры в отчетном периоде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Администрацией городского округа Электросталь на постоянной основе ведется работа по принятию в муниципальную собственность безхозяйных дорог. За 2020 год принято в муниципальную собственность 3,1 км.</w:t>
            </w:r>
          </w:p>
        </w:tc>
      </w:tr>
      <w:tr w:rsidR="00A26F69" w:rsidRPr="00D02E0D" w:rsidTr="00A26F69">
        <w:trPr>
          <w:trHeight w:val="94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Планируемые мероприятия по строительству и реконструкции объектов дорожно-транспортной инфраструктуры в прогнозируемом периоде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прогнозном периоде строительство и реконструкция объектов дорожно- транспортной инфраструктуры не планируется. Увеличение протяженности дорог с твердым типом покрытия на прогнозный период планируется за счет принятия в муниципальную собственность безхозяйных дорог.</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7. Малое и среднее предпринимательство, включая микропредприятия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Число малых и средних предприятий, включая микропредприятия (на конец года)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48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снижения/роста количества малых, средних и микропредприятий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2020 году в результате действия ограничительных мероприятий, введенных  в связи с угрозой распространения новой вирусной инфекции (COVID-2019),  на территории Московской области была приостановлена либо ограничена деятельность большинства предприятий и организаций определенных отраслей, что повлекло к снижению выручки, отказу от приема новых сотрудников, а в ряде случаев закрытие предприятий в наиболее пострадавших отраслях </w:t>
            </w:r>
            <w:r w:rsidRPr="00D02E0D">
              <w:rPr>
                <w:rFonts w:cs="Times New Roman"/>
                <w:sz w:val="20"/>
                <w:szCs w:val="20"/>
              </w:rPr>
              <w:lastRenderedPageBreak/>
              <w:t>экономики. В результате наблюдается снижение количества субъектов МСП</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 xml:space="preserve">Несмотря на меры государственной поддержки, оказываемой субъектам  малого предпринимательства, в 2021 году продолжается тенденция к снижению  численности МСП. Малый бизнес городского округа Электросталь в своем большинстве смог адаптироваться к текущим кризисным условиям из-за пандемии коронавируса, но говорить о полном восстановлении пока преждевременно.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В прогнозном периоде планируется восстановить численность МСП и индивидуальных предпринимателей до уровня 2019 года.  В рамках плана мероприятий по обеспечению устойчивого развития экономики и социальной стабильности в Московской области предусмотрены программы поддержки МСП, направленные на максимальное снижение текущих издержек бизнеса, чтобы высвободить средства на выплату заработной платы, </w:t>
            </w:r>
            <w:r w:rsidRPr="00D02E0D">
              <w:rPr>
                <w:rFonts w:cs="Times New Roman"/>
                <w:sz w:val="20"/>
                <w:szCs w:val="20"/>
              </w:rPr>
              <w:lastRenderedPageBreak/>
              <w:t>сохранить занятость, предоставляются отсрочки по уплате арендных платежей, организовано предоставление льготных кредитов (6 %).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lastRenderedPageBreak/>
              <w:t>8. Инвестиции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21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1971"/>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инвестиций по крупным и средним предприятиям</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В 2020 году наибольший объем инвестиций освоили предприятия городского округа, осуществляющие свою деятельность в сфере обрабатывающего производства 2 264, 4 млн.руб. (60,1% от общего объема инвестиций по крупным и средним организациям), в том числе ПАО "МСЗ" - годовой объем инвестиций 1 827,5 млн.руб., ОАО "ЭЗТМ" - 176,4 млн.руб., АО "МЗ "Электросталь" - 144,9 млн.руб.Также в 2020 году  было начато строительство центра омниканальной торговли "Вайлберриз", объем инвестиций составил 32,5 млн.руб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Снижение темпов роста объема инвестиций по крупным и средним организациям городского округа Электросталь в прогнозном периоде 2022-2024 годов обусловлен небольшим ростом объемов инвестиций, которые планируют освоить крупнейшие предприятия: ПАО "МСЗ" - 1 254,9 млн.руб., ОАО "ЭЗТМ" - 180 млн.руб., АО "МЗ "Электросталь" - 104,5 млн.руб., АО "502 ЗРВТИ" - 8,2 млн.руб.  В первом квартале 2021 года объем инвестиций по крупным и средним организациям городского округа объем инвестиций составил 763,46 млн.руб., рост по сравнению с аналогичным периодом 2020 года 229,7%. Причина роста – ООО "Вайлдберриз" предоставили статистическую  по форме П-2 за январь-март 2021 года и </w:t>
            </w:r>
            <w:r w:rsidRPr="00D02E0D">
              <w:rPr>
                <w:rFonts w:cs="Times New Roman"/>
                <w:sz w:val="20"/>
                <w:szCs w:val="20"/>
              </w:rPr>
              <w:lastRenderedPageBreak/>
              <w:t>показали объем освоенных инвестиций – 500 млн.руб. Объем инвестиций из местных бюджетов за  2021 год составит 3,2 млн.рублей. Планируется реализовать следующие инвестиционные проекты : реконструкция очистных сооружений, в/г Ногинск-5, д.Всеволодово, Электросталь г.о., в том числе ПИР в объеме 500 тыс.руб., Реконструкция биологических очистных сооружений канализации по адресу: городской округ Электросталь, пос.Фрязево (в том числе ПИР) – 817,83 тыс.руб., капитальный ремонт ВЗУ (приобретение, монтаж и ввод в эксплуатацию станции водоочистки  на ВЗУ в с. Иванисово, ул. Центральная усадьба,  д.1) – 1 906,5 тыс.руб.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Инвестиционная деятельность в городском округе прогнозируется к снижению, завершаются модернизации производства на крупных предприятиях города: ПАО "МСЗ", ОАО "ЭЗТМ", АО "МЗ «Электросталь" ,  АО "502 ЗРВТИ". ООО "Вайлдберриз" завершит строительство в 2021 году. Строительство крупных промышленных и торговых объектов не планируется.</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Инвестиционные проекты</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Реализованные инвестиционные проекты в отчетном периоде</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и период реализации</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средств по годам</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Краткое описание проекта</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А: сельское, лесное хозяйство, охота, рыболовство и рыбоводство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В: добыча полезных ископаемых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10 Производство пищевых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"ГЛОБАЛ СНЕК"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59,87 млн.рублей</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Инвестиции в развитие предприятия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11 Производство напитков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13 Производство текстильных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14 Производство одежды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15 Производство кожи и изделий из кожи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17 Производство бумаги и бумажных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18 Деятельность полиграфическая и копирование носителей информации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20 Производство химических веществ и химических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ПАО "Машиностроительный завод"</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1 877,5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и модернизация предприятия атомной отрасли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"ЭХМЗ им. Н.Д.Зелинского"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81,67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"Химинвест"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7,5 млн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производственно-складского здания по производству автомобильной химии</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21 Производство лекарственных средств и материалов, применяемых в медицинских целях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22 Производство резиновых и пластмассовых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"Полимер", 2019 - 2020</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26,8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 пластмассовых изделий</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23 Производство прочей неметаллической минеральной продукции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24 Производство металлургическое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144,86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"Альянс"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17,4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производственного здания по производству ферросплавов</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25 Производство готовых металлических изделий, кроме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"Русинокс"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16,43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"Терминус"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10,33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ООО "Архиглейз"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64,3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здания по производству алюминиевых дверей и окон</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26 Производство компьютеров, электронных и оптических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27 Производство электрического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28 Производство машин и оборудования, не включенных в другие группировки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"ЭЗТМ"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176,4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"МСЗ - МЕХАНИКА"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12,64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29 Производство автотранспортных средств, прицепов и полуприцепов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30 Производство прочих транспортных средств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31 Производство мебели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"Дебют"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0,4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ИП "Вострухин"</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24,36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32 Производство прочих готовых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D: 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26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Раздел Е: 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очистных сооружений, в/г Ногинск-5, д.Всеволодово, Электросталь г.о., в том числе ПИР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18,5 млн.руб. (в том числе из бюджета городского округа Электросталь – 0,92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r>
      <w:tr w:rsidR="00A26F69" w:rsidRPr="00D02E0D" w:rsidTr="00A26F69">
        <w:trPr>
          <w:trHeight w:val="103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61,3  млн.руб. – средства бюджета Московской области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и реконструкция объектов очистки сточных вод</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F: Строительство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G: Торговля оптовая и розничная; ремонт автотранспортных средств и мотоциклов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ТСБ АО "Контракт"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9,8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"Вайлдберриз", 2020 - 2022</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32,5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центра омниканальной оптовой торговли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I: Деятельность гостиниц и предприятий общественного питания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H: Транспортировка и хранение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J: Деятельность в области информации и связи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Раздел K: Деятельность финансовая и страховая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L: Деятельность по операциям с недвижимым имуществом</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"Дента Лаб"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 43,9 млн.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торгового центра с целью дальнейшей сдачи помещений в аренду под торговую деятельность</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M: Деятельность профессиональная, научная и техническая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N: Деятельность административная и сопутствующие дополнительные услуги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O: Государственное управление и обеспечение военной безопасности; социальное обеспечение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"502 ЗРВТИ"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завода по ремонту военно-технического имущества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03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P: Образование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МДОУ "24</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2,5 млн.руб. (в том числе из бюджета городского округа Электросталь - 2,1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r>
      <w:tr w:rsidR="00A26F69" w:rsidRPr="00D02E0D" w:rsidTr="00A26F69">
        <w:trPr>
          <w:trHeight w:val="103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МОУ СОШ №3</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3,86 млн.руб. - средства бюджета городского округа Электросталь</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проведению капитального ремонта в муниципальных общеобразовательных организациях в Московской области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Раздел Q: Деятельность в области здравоохранения и социальных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R: Деятельность в области культуры, спорта, организации досуга и развлечений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"М.Р.И.С. Групп"</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9,1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футбольного манежа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S: Предоставление прочих видов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Планируемые к реализации инвестиционные проекты в текущем и прогнозируемом периодах</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и период реализации</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средств по годам</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Краткое описание проекта</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А: сельское, лесное хозяйство, охота, рыболовство и рыбоводство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В: добыча полезных ископаемых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10 Производство пищевых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"ГЛОБАЛ СНЕК"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- 44,3 млн.руб., 2022 год - 68,86 млн.руб., 2022 год - 79,18 млн.руб., 2023 год - 91,06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Инвестиции в развитие предприятия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11 Производство напитков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13 Производство текстильных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14 Производство одежды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15 Производство кожи и изделий из кожи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17 Производство бумаги и бумажных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18 Деятельность полиграфическая и копирование носителей информации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26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20 Производство химических веществ и химических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ПАО "Машиностроительный завод"</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Плановый объем инвестиций в проект ( 2020-2025 годы) составляет 13,2 млрд. руб.В 2021 году - 1 254,87 млн.руб., 2022 год - 2 978,31 млн.руб., </w:t>
            </w:r>
            <w:r w:rsidRPr="00D02E0D">
              <w:rPr>
                <w:rFonts w:cs="Times New Roman"/>
                <w:sz w:val="20"/>
                <w:szCs w:val="20"/>
              </w:rPr>
              <w:lastRenderedPageBreak/>
              <w:t>2023 год - 2 191,61 млн.руб., 2024 год - 1 299,99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Реконструкция и модернизация предприятия атомной отрасли</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"ЭХМЗ им. Н.Д.Зелинского"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- 15 млн.руб., 2022 год - 10 млн.руб., 2023 год - 10 млн.руб., 2024 год - 10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79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"Химинвест"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Плановый объем инвестиций в проект (2020-2021 годы) составляет 80 млн. рублей.  2021 год - 72,5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производственно-складского здания по производству автомобильной химии</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21 Производство лекарственных средств и материалов, применяемых в медицинских целях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22 Производство резиновых и пластмассовых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23 Производство прочей неметаллической минеральной продукции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24 Производство металлургическое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- 104,5 млн.руб., 2022 год - 109,74 млн.руб., 2023 год - 114,96 млн.руб., 2024 год - 120,19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25 Производство готовых металлических изделий, кроме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"Русинокс"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- 150 млн.руб., 2022 год - 200 млн.руб., 2023 год - 200 млн.руб., 2024 год - 150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"Терминус"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- 95 млн.руб., 2022 год - 30 млн.руб., 2023 год - 30 млн.руб., 2024 год - 30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26 Производство компьютеров, электронных и оптических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27 Производство электрического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28 Производство машин и оборудования, не включенных в другие группировки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"ЭЗТМ"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- 180 млн.руб., 2022 год - 185 млн.руб., 2023 год - 190 млн.руб., 2024 год - 195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79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"МСЗ - МЕХАНИКА"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- 37,89 млн.руб., 2022 год - 37,5 млн.руб., 2023 год - 35 млн.руб., 2024 год - 37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29 Производство автотранспортных средств, прицепов и полуприцепов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30 Производство прочих транспортных средств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31 Производство мебели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"Дебют"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- 2,5 млн.руб., 2022 год - 2 млн.руб., 2023 год - 2 млн.руб., 2024 год - 2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ИП "Вострухин"</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 год - 18 млн.руб., 2023 год - 18 млн.руб., 2024 год - 18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32 Производство прочих готовых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D: 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217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Е: 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очистных сооружений, в/г Ногинск-5, д.Всеволодово, Электросталь г.о., в том числе ПИР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- 10 млн.руб. (в том числе из бюджета городского округа Электросталь - 0,5 млн.руб.), 2022 год - 112,03 (в том числе из бюджета городского округа Электросталь - 5,6 млн.руб.), 2023 год - 95,66 млн.руб. (в том числе из бюджета городского округа Электросталь - 4,8 млн.руб.), 2024 год 353,3 млн.руб. (в том числе из бюджета городского округа Электросталь - 17,7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r>
      <w:tr w:rsidR="00A26F69" w:rsidRPr="00D02E0D" w:rsidTr="00A26F69">
        <w:trPr>
          <w:trHeight w:val="217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- 8 млн.руб. (в том числе из бюджета городского округа Электросталь – 0,82 млн.руб.), 2022 год – 35,83 (в том числе из бюджета городского округа Электросталь – 4,4 млн.руб.), 2023 год – 64,34 млн.руб. (в том числе из бюджета городского округа Электросталь – 6,34 млн.руб.), 2024 год  20,46 млн.руб. (в том числе из бюджета городского округа Электросталь – 2,06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и реконструкция объектов очистки сточных вод</w:t>
            </w:r>
          </w:p>
        </w:tc>
      </w:tr>
      <w:tr w:rsidR="00A26F69" w:rsidRPr="00D02E0D" w:rsidTr="00A26F69">
        <w:trPr>
          <w:trHeight w:val="79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ВЗУ д. Есино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 год – 70 млн.руб. (в том числе из бюджета городского округа Электросталь – 14,35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и реконструкция (модернизация) объектов питьевого водоснабжения</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F: Строительство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G: Торговля оптовая и розничная; ремонт автотранспортных средств и мотоциклов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ТСБ АО "Контракт"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- 7,5 млн.руб., 2022 год - 8 млн.руб., 2023 год - 8 млн.руб., 2024 год - 8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"Вайлдберриз"</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- 450 млн.руб., 2022 год - 450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центра омниканальной оптовой торговли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I: Деятельность гостиниц и предприятий общественного питания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H: Транспортировка и хранение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J: Деятельность в области информации и связи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K: Деятельность финансовая и страховая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Раздел L: Деятельность по операциям с недвижимым имуществом</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"Дента Лаб"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-38,1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торгового центра с целью дальнейшей сдачи помещений в аренду под торговую деятельность</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M: Деятельность профессиональная, научная и техническая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N: Деятельность административная и сопутствующие дополнительные услуги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O: Государственное управление и обеспечение военной безопасности; социальное обеспечение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"502 ЗРВТИ"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- 8,2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завода по ремонту военно-технического имущества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03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P: Образование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МДОУ "24</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 год - 33,2 млн.руб. (в том числе из бюджета городского округа Электросталь - 8,4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r>
      <w:tr w:rsidR="00A26F69" w:rsidRPr="00D02E0D" w:rsidTr="00A26F69">
        <w:trPr>
          <w:trHeight w:val="103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МОУ СОШ №3</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2023 год - 53,82 млн.руб. (в том чисе из бюджета городского округа Электросталь - 13,6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проведению капитального ремонта в муниципальных общеобразовательных организациях в Московской области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Q: Деятельность в области здравоохранения и социальных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48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Раздел R: Деятельность в области культуры, спорта, организации досуга и развлечений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МБУ КЦ "Октябрь"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2023 год - 146,76 млн.руб. ( в том числе из бюджета городского округа Электросталь - 37,13 млн.руб.), 2024 год - 529,91 млн.руб. (в том числе из бюджета городского округа Электросталь - 134,07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S: Предоставление прочих видов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9. Строительство и жилищно-коммунальное хозяйство</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94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работ, выполненных по виду экономической деятельности «Строительство» (Раздел F) по крупным и средним организациям (без организаций с численностью работающих менее 15 человек)</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79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Причины увеличения/снижения объемов работ, выполненных по виду экономической деятельности «Строительство» </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Рост в отченом периоде обусловлен строительством ЦКАД (ООО "СУ910"ЦКАД-4")</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Снижение темпов роста в 2021 году обусловлено завершением строительства ЦКАД.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Крупных строительных проектов на территории городского округа в прогнозном периоде не планируется</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жилищного строительства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10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жилищного строительства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Общая площадь жилых помещений в городском округе, введенная в действие  в 2020 году составила 15,81 тыс. кв. метров. Введено в эксплуатацию: - многоквартирный дом площадью 9,18 тыс.кв.м по адресу Ногинское шоссе, 36, кор.4, застройщик – ООО «Специализированный застройщик ЮИТ Северный квартал»; - индивидуальное жилищное строительство площадью 6,63 тыс.кв.м.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2021 году планируется ввод в эксплуатацию МКД по ул.Захарченко д.4 (стр) (застройщик - АО "СЗ "Виктория Девелопмент"), площадью 31,31 тыс.кв.м, а также 7,9 тыс.кв. м индивидуального жилищного строительства.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2022 году планируется ввести в эксплуатацию: многоквартирный жилой дом по ул.Трудовая, 8, общей площадью 6,76 тыс. кв.м., а также ИЖС - 8,9 тыс.кв.м.  В 2023 году планируется ввод ИЖС в объеме 7,7 тыс.кв.м Для поддержания динамики ввода жилых объектов в эксплуатацию в городском округе проводится работа по согласованию концепций развития территорий мкр.Северный-2 и территории по ул.Юбилейная. Кроме того, продолжится строительство микрорайона в квартале между </w:t>
            </w:r>
            <w:r w:rsidRPr="00D02E0D">
              <w:rPr>
                <w:rFonts w:cs="Times New Roman"/>
                <w:sz w:val="20"/>
                <w:szCs w:val="20"/>
              </w:rPr>
              <w:lastRenderedPageBreak/>
              <w:t>Ногинским шоссе и проспектом Ленина.</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lastRenderedPageBreak/>
              <w:t>12. Труд и заработная плата</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Количество созданных рабочих мест</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Вид деятельности</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Количество созданых рабочих мест</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Количество созданных рабочих мест в отчетном периоде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Дилерский центра "LADA"</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Торговля оптовая и розничная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20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ПБО "Макдональдс"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20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Магазин торговой марки "Светофор"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17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Магазин торговой марки "Пятерочка"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21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Магазин торговой марки "Бристоль"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13 раб.мест</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Предприятия общественного питания (кафе, рестораны)</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43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Предприятия розничной торговли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169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Крупные промышленные предприятия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Обрабатывающее производство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8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Количество созданных рабочих мест в текущем и прогнозном периоде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ООО "Вайлдберриз"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оптовая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- 500 раб.  мест, 2022 год - 300 раб.мест, 2023 год  - 200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МОУ "Гимназия №9"</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Образование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- 92 раб.места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Предприятия розничной торговли и общественного питания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 и 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100 раб.мест ежегодно</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Промышленные предприятия (малое предпринимательство)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Обрабатывающее производство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50 раб.мест ежегодно</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Численность официально зарегистрированных безработных</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586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Текущая ситуация и перспективы развития рынка труда</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xml:space="preserve"> В связи с неблагополучной ситуацией, связанной с введением карантина на территории городского округа Электросталь, многие предприятия и организации города вводили режим неполной занятости, в том числе и крупнейшие предприятия, такие как: ОАО "Металлургический завод "Электросталь", ОАО "ЭХМЗ им. Н.Д.Зелинского", АО "ЭНПО «Неорганика" и многие другие. Всего в режиме неполной занятости находились почти 4,5 тыс. работников предприятий и организаций города всех форм собственности, из-за чего, произошло значительное уменьшение количества рабочих мест. Фактором, определяющим умеренную динамику в прогнозном периоде является то, что на территории городского округа Электросталь не планируется строительство больших промышленных производств  и строительство жилья, также не планируется в больших объёмах. Следовательно,  не ожидается большого роста потребителей данного вида продукции.  Эпидемия COVID-19, особенно негативно повлияла на стабильность многих традиционных бизнесов. Малые предприятия, косметические салоны, магазины одежды, туристические агентства, бары и клубы закрылись из-за отсутствия посетителей. Кризис особо негативно сказался на малом и среднем бизнесе связанным с потребительским спросом,  что привело к резкому сокращению рабочего штата компаний, а также индивидуальных предпринимателей и самозанятых. Однако, в  перспективе, в городе планируется строительство путепровода в центральной части по улице Советской (муниципальная автомобильная дорога) через железнодорожный путь ветки "Фрязево-Ногинск" Московской железной дороги. Это разгрузит дорожное движение в городе, и увеличит мобильность рабочей силы внутри города и между г.о. Электросталь и другими населёнными пунктами. По долгосрочному прогнозу в перспективе безработица будет снижаться. Это будет происходить быстрее или медленнее, в зависимости от экономической ситуации в городе и стране. В основном на количество существующих рабочих мест будут влиять градообразующие предприятия города (заводы). Оптимизация численности рабочих мест должна быть завершена. Также планируется  появление новых рабочих мест в городе и окрестностях, в связи с развитием территорий и увеличением населения городского округа, расширением направлений деятельности, созданием коворкинг-центра,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 Привлечение инвестиций – основа развития городского округа. Основные механизмы привлечения инвесторов и создания благоприятного инвестиционного климата: открытость власти, отсутствие административных барьеров, подбор и адаптация инвестиционных площадок для реализации инвестиционных проектов, развитие государственно-частного партнёрства. Также на уровень безработицы будет влиять численность экономически активного населения. Предыдущие года показывают, что численность экономически активного населения в городе стабильно возрастает. Существует прирост населения из других областей и республик. В условиях естественной убыли населения одним из основных источников увеличения численности является миграция. </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lastRenderedPageBreak/>
              <w:t>Фонд начисленной заработной платы крупных и средних предприятий</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2113"/>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темпов роста фонда заработной платы крупных и средних предприятий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Организациями, определяющими динамику фонда заработной платы городского округа являются крупнейшие промышленные предприятия: ПАО "МСЗ, ОАО "ЭЗТМ", АО "МЗ"Электросталь", ОАО "ЭХМЗ", АО "502ЗРВТИ". Доля фонда заработной платы перечисленных  предприятий в общем объеме фонда заработной платы крупных и средних предприятий городского округа составляет 37,6% , в 2020 году ФЗП данных предприятий составил 7 256,8 млн.руб.,темп роста по сравнению с 2019 годом 102,8%. Численность работников в 2020 году уменьшилась по сравнению с 2019 годом на 579 человек. Оптимизация численности произошла на крупных предприятиях города: ПАО «МСЗ» сократил численность на 208 чел .(было в 2019 году 3993 чел., стало в 2020 году 3785 чел.), ОАО "ЭЗТМ" на 33 чел.(было – 1244 чел., стало 1211 чел.), АО "МЗ"Электросталь" на 264 чел. (было 4235 чел., стало 3971 чел.). Ряд других крупных предприятий также сократил среднесписочную численность работников</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2021 году темп роста ФЗП крупных и средних предприятий городского округа растет (оценочно)  по сравнению с темпом роста за 2020 год ввиду увеличения  ФЗП крупнейших предприятий: ПАО "МСЗ, ОАО "ЭЗТМ", АО "МЗ"Электросталь", ОАО "ЭХМЗ", АО "502ЗРВТИ" (в 2021 году ФЗП данных предприятий оценочно составит 7 317,94 млн.руб., темп роста 100,8%), а также в связи с открытием на территории городского округа крупного предприятия – Центр омниканальной торговли ООО "Вайлбериз".  Численность работников в 2021 году уменьшилась по сравнению с 2020 годом на 301 человек. В связи с неблагополучной ситуацией, связанной с введением карантина на территории городского округа Электросталь, многие предприятия и организации города вводили режим неполной занятости, в том числе и крупнейшие предприятия, такие как: ОАО «Металлургический завод «Электросталь», ОАО «ЭХМЗ им. Н.Д.Зелинского, АО «ЭНПО «Неорганика» и многие другие. Всего в режиме неполной занятости находились почти 4,5 тыс. работников предприятий и организаций города всех форм собственности, из-за чего, произошло значительное уменьшение количества рабочих мест.  Наряду с этим, в </w:t>
            </w:r>
            <w:r w:rsidRPr="00D02E0D">
              <w:rPr>
                <w:rFonts w:cs="Times New Roman"/>
                <w:sz w:val="20"/>
                <w:szCs w:val="20"/>
              </w:rPr>
              <w:lastRenderedPageBreak/>
              <w:t>2021 году Центр омниканальной торговли ООО "Вайлбериз" принял на вновь созданные рабочие места 500 чел., что позволило избежать достаточно большого снижения численности работников крупных и средних предприятий городского округа.</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 xml:space="preserve">Наметившаяся тенденция устойчивого роста заработной платы работников крупных предприятий городского округа окажет влияние на умеренный рост фонда заработной платы в 2022-2024 годах в среднем на 4,5 % в год. </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Среднемесячная номинальная начисленная заработная плата работников по крупным и средним организациям</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445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темпов роста среднемесячной заработной платы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рост средней заработной платы оказывает влияние не только рост ФЗП, но и сокращение численности работников ряда крупных предприятий города. Наиболее высокий уровень среднемесячной заработной платы в 2020 году сложился у предприятий городского округа , относящихся к виду деятельности: "Обрабатывающее производство" - 57 836,6 руб. (темп роста - 103,5%) , "Деятельность финансовая и страховая" -  66 414,9 руб.(темп роста – 106,8%), "Строительство" - 63 728,2 руб.(темп роста – 137,7%), "Деятельность в области информации и связи" - 60 051,5 (темп роста – 106,8%).</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За январь – май  2021 года наиболее высокий уровень среднемесячной заработной платы показывают предприятия городского округа , относящиеся к виду деятельности: "Обрабатывающее производство" - 62 013,8 руб. (темп роста – 102,3%) , "Обеспечение электрической энергией, газом и паром; кондиционирование воздуха" -  62 555,6 (темп роста – 104,5%), "Деятельность финансовая и страховая" -  75 427,1 руб.(темп роста – 112,9%), "Строительство" - 60 838,2 руб.(темп роста – 115,1%), "Деятельность в области информации и связи" - 64 448,6 (темп роста – 100,6%), "Торговля оптовая и розничная; ремонт автотранспортных средств и мотоциклов" - 50 766,7 руб.(темп роста – 113%), "Транспортировка и хранение" - 55 080 руб. (темп роста – 115,5%).</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На плановый период 2022-2024 годов прогнозируется умеренный рост средней заработной платы крупных и средних предприятий городского округа. Причина – сохранение крупнейшими предприятиями объемов производства.</w:t>
            </w:r>
          </w:p>
        </w:tc>
      </w:tr>
      <w:tr w:rsidR="00A26F69" w:rsidRPr="00D02E0D" w:rsidTr="00A26F69">
        <w:trPr>
          <w:trHeight w:val="150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lastRenderedPageBreak/>
              <w:t>Перечень крупных и средних предприятий, с высоким уровнем средней заработной платы, оказывающих значительное влияние на средний уровень заработной платы по муниципальному образованию (существующие, созданные, ликвидированные, с указанием наименования)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Уровень зп</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Краткое описание (сфера деятельности / основные виды выпускаемой продукции)</w:t>
            </w:r>
          </w:p>
        </w:tc>
      </w:tr>
      <w:tr w:rsidR="00A26F69" w:rsidRPr="00D02E0D" w:rsidTr="00A26F69">
        <w:trPr>
          <w:trHeight w:val="150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А: сельское, лесное хозяйство, охота, рыболовство и рыбоводство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Нет крупных и средних предприятий, с высоким уровнем заработной платы, оказывающих значительное влияние на средний уровень заработной платы по муниципальному образованию</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Нет крупных и средних предприятий, с высоким уровнем заработной платы, оказывающих значительное влияние на средний уровень заработной платы по муниципальному образованию</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Нет крупных и средних предприятий, с высоким уровнем заработной платы, оказывающих значительное влияние на средний уровень заработной платы по муниципальному образованию</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10 Производство пищевых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"ГЛОБАЛ СНЕК"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50 372,8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снеки</w:t>
            </w:r>
          </w:p>
        </w:tc>
      </w:tr>
      <w:tr w:rsidR="00A26F69" w:rsidRPr="00D02E0D" w:rsidTr="00A26F69">
        <w:trPr>
          <w:trHeight w:val="34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"Бета Гида"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30 397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осуществляет фасовку чая и кофе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11 Производство напитков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13 Производство текстильных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14 Производство одежды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"ФИРМА Черемушки"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30 898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нательного белья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15 Производство кожи и изделий из кожи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"Элеон Дом"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39 189,3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Переработка древесины</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17 Производство бумаги и бумажных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18 Деятельность полиграфическая и копирование носителей информации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5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20 Производство химических веществ и химических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ПАО "Машиностроительный завод"</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81300руб.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Крупнейшее системообразующее предприятие городского округа Электросталь ПАО "МСЗ" производит ядерное топливо для атомных электростанций. Предприятие  входит в состав ТК "ТВЭЛ" Госкорпарации «Росатом»</w:t>
            </w:r>
          </w:p>
        </w:tc>
      </w:tr>
      <w:tr w:rsidR="00A26F69" w:rsidRPr="00D02E0D" w:rsidTr="00A26F69">
        <w:trPr>
          <w:trHeight w:val="14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"ЭХМЗ им.Н.Д.Зелинского"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32841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Системообразующее предприятие городского округа Электросталь, производит средства индивидуальной и коллективной защиты от оружия массового поражения и химически опасных веществ  </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21 Производство лекарственных средств и материалов, применяемых в медицинских целях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22 Производство резиновых и пластмассовых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"Полимер"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41 200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вид деятельности: производство прочих пластмассовых изделий</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23 Производство прочей неметаллической минеральной продукции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"ГлассТехнолоджис"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28 000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стеклянные изделия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8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24 Производство металлургическое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55 971,3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Вид деятельности - производство стали в слитках, способен выплавлять более 2000 марок высококачественной стали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25 Производство готовых металлических изделий, кроме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"Русинокс"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45 736,43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производит нержавеющие трубы</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26 Производство компьютеров, электронных и оптических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27 Производство электрического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"Элемаш Магнит"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80 000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производит электрическое оборудование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28 Производство машин и оборудования, не включенных в другие группировки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"ЭЗТМ"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36 803,5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машин и оборудования для трубной, горнодобывающей и цементной промышленности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29 Производство автотранспортных средств, прицепов и полуприцепов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30 Производство прочих транспортных средств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31 Производство мебели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"Дебют"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25 767,7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мебель на металлокаркасе, офисные кресла, стулья, и пр.</w:t>
            </w:r>
          </w:p>
        </w:tc>
      </w:tr>
      <w:tr w:rsidR="00A26F69" w:rsidRPr="00D02E0D" w:rsidTr="00A26F69">
        <w:trPr>
          <w:trHeight w:val="178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ИП Вострухин М.С.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21 520,7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предметы интерьера и мебели, ккоторые имеют большой спрос не только на территории городского округа , но и вцелом по Московской области и Российской Федерации. Сеть магазинов данного предприятия - "Империя Богаччо"</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32 Производство прочих готовых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"Гласс Технолоджис"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28 000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полые стеклянные изделия.</w:t>
            </w:r>
          </w:p>
        </w:tc>
      </w:tr>
      <w:tr w:rsidR="00A26F69" w:rsidRPr="00D02E0D" w:rsidTr="00A26F69">
        <w:trPr>
          <w:trHeight w:val="136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"МСЗ - Механика"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67 538,8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является дочерним предприятием ПАО "МСЗ", входит в состав ТК "ТВЭЛ" Госкорпарации "Росатом". Производит  нестандартизированное оборудование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D: 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48 000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пара и горячей воды (тепловой энергии)</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ВКС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пара и горячей воды (тепловой энергии)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Е: 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Филиал ГУА МО КСМО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35 000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Забор, очистка и распределение воды</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F: Строительство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"СЗ "Викторя Девелопмент"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90 000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Застройщик ряда многоквартирных жилых домов</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"ЮИТ Московский регион"</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100 000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Застройщик крупного объекта (жилой дом)</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G: Торговля оптовая и розничная; ремонт автотранспортных средств и мотоциклов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Транспортно-складская база ОАО "КОНТРАКТ"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44 426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Оптовая торговля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"Гиперглобус"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I: Деятельность гостиниц и предприятий общественного питания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Гостиница "Элемаш"</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29 002,1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гостиниц и прочих мест для временного проживания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H: Транспортировка и хранение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"Вайлбериз"</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Центр омниканальной торговли (склады)</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J: Деятельность в области информации и связи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41086,4</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Издание газет в печатном виде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K: Деятельность финансовая и страховая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Отделения ПАО Сбербанк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Осуществление банковских операций</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L: Деятельность по операциям с недвижимым имуществом</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Управляющие компании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57 300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Аренда и управление собственным или арендованным недвижимым имуществом</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26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M: Деятельность профессиональная, научная и техническая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"ЭНПО" "Неорганика"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30 788,8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занимается научными исследованиями и разработками в области естественных и технических наук, а также производит химическую продукцию.</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N: Деятельность административная и сопутствующие дополнительные услуги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"Отдых"</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37 340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по чистке и уборке жилых зданий и нежилых помещений прочая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O: Государственное управление и обеспечение военной безопасности; социальное обеспечение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"502 ЗРВТИ"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63 958,8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находится под ведомством Минобороны РФ, вид деятельности: ремонт вооружения и военной техники.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P: Образование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Муниципальные учреждения общего и дошкольного образования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51 712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Образование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Q: Деятельность в области здравоохранения и социальных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ГБУЗ "ЭЦГБ"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55 000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в области здравоохранения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ФМБА России ЦМСЧ №21</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55 000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в области здравоохранения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R: Деятельность в области культуры, спорта, организации досуга и развлечений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МБУ КЦ "Октябрь"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43 200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учреждений культуры и искусства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Фонд начисленной заработной платы малых предприятий (включая микропредприятия)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1546"/>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темпов роста фонда заработной платы малых предприятий (включая микропредприятия)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2020 году фонд заработной платы по малым предприятиям вырос по сравнению с 2019 годом на 9 процентов. Рост по сравнению обусловлен  развитием и модернизацией производственных процессов на предприятиях малого бизнеса. Компания ООО "Амега" реализовала инвестиционный </w:t>
            </w:r>
            <w:r w:rsidRPr="00D02E0D">
              <w:rPr>
                <w:rFonts w:cs="Times New Roman"/>
                <w:sz w:val="20"/>
                <w:szCs w:val="20"/>
              </w:rPr>
              <w:lastRenderedPageBreak/>
              <w:t>проект по строительству нового цеха по производству стеклопакетов. На производстве установлено инновационное роботизированное оборудование. Это позволило создать новые высокотехнологичные рабочие места. Средняя заработная плата в компании составила 55 тыс.рублей.  ООО "Бета Гида"  построила новый комплекс по производству кофе, были введены новые рабочие места с более высокой заработной платой.</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 xml:space="preserve">Несмотря на ограничительные мероприятий, введенные в связи с угрозой распространения новой вирусной инфекции, и сокращением численности субъектов малого предпринимательства, фонд заработной платы работников оценочно вырастет на 3,8%. </w:t>
            </w:r>
            <w:r w:rsidRPr="00D02E0D">
              <w:rPr>
                <w:rFonts w:cs="Times New Roman"/>
                <w:sz w:val="20"/>
                <w:szCs w:val="20"/>
              </w:rPr>
              <w:lastRenderedPageBreak/>
              <w:t xml:space="preserve">Средняя заработная плата у ряда предприятий малого бизнеса продолжает тенденцию к росту. В условиях пандемии медицинские центры  ООО "Медина" и ООО "Контракт" повышают среднюю заработную плату работникам (в 2021 году она составила 80 тысяч рублей). Продолжается модернизация ряда предприятий малого бизнеса. Вследствие чего фонд заработной платы растет, несмотря на снижение численности работников.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 xml:space="preserve">На территории г.о. Электросталь действует программа финансовой поддержки предпринимателей, что позволяет создавать новые рабочие места. Также в городе создаются индустриальные и техно-парки, что способствует привлечению высококвалифицированных специалистов. Данные факторы </w:t>
            </w:r>
            <w:r w:rsidRPr="00D02E0D">
              <w:rPr>
                <w:rFonts w:cs="Times New Roman"/>
                <w:sz w:val="20"/>
                <w:szCs w:val="20"/>
              </w:rPr>
              <w:lastRenderedPageBreak/>
              <w:t>оказывают влияние на темпы роста фонда заработной платы  малых предприятий.</w:t>
            </w:r>
          </w:p>
        </w:tc>
      </w:tr>
      <w:tr w:rsidR="00A26F69" w:rsidRPr="00D02E0D" w:rsidTr="00A26F69">
        <w:trPr>
          <w:trHeight w:val="561"/>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lastRenderedPageBreak/>
              <w:t>Среднемесячная заработная плата работников малых предприятий (включая микропредприятия)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15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темпов роста среднемесячной заработной платы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Рост средней заработной платы в 2020 году обусловлен ростом производительности на предприятиях малого бизнеса. ООО "ЭЛКО" развивали индустриальный парк, повышают заработную плату работникам. ООО "Картоненко" осуществляли модернизацию производства, устанавливали станки с ЧПУ, для работы с которыми требуются более квалифицированные работники.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 Средняя заработная плата у ряда предприятий малого бизнеса продолжает тенденцию к росту. В условиях пандемии медицинские центры  ООО "Медина" и ООО "Контракт" повышают среднюю заработную плату работникам (в 2021 году она составила 80 тысяч рублей). Продолжается модернизация ряда предприятий малого бизнеса. Для работы на высокотехнологичном оборудовании требуются более квалифицированные работники с высокой заработной платой.</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связи с проводимыми мероприятиями по модернизации производств и замене оборудования старого образца на современное высокотехнологичное оборудование у предприятий увеличивается выпуск продукции, появляется необходимость в повышение квалификации кадров, что влечет повышении производительности труда. Все эти факторы влияют на увеличение темпов роста среднемесячной заработной платы в прогнозном периоде на территории г.о. Электросталь</w:t>
            </w:r>
          </w:p>
        </w:tc>
      </w:tr>
      <w:tr w:rsidR="00A26F69" w:rsidRPr="00D02E0D" w:rsidTr="00A26F69">
        <w:trPr>
          <w:trHeight w:val="1209"/>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Образование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21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 xml:space="preserve">Мероприятия по обеспечению соответствия уровней средних заработных плат работников сферы образования (по категориям) установленным нормативам в соответствии с указами Президента РФ </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Создание центра "IT-куб" позволил увеличить кружковую деятельность технической и естественнонаучной направленности. Увеличилась численность детей, занимающихся в кружках, что позволило увеличить средства бюджета, направленных на заработную плату. Количество детей в возрасте от 5 до 7 лет, посещающих кружки проекта «Наука в Подмосковье» достигло 1622 человек,  или 47% от общего числа детей от 5 до 7 лет, охваченных дополнительным образованием.</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Культура</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298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обеспечению соответствия уровней средних заработных плат работников культуры установленным нормативам в соответствии с указами Президента РФ</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городском округе Электросталь уровень средней заработной платы в сфере культуры планируется выполнить по итогу 2021 года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и средств от приносящей доход деятельности. По состоянию на 01.08.2021 данный показатель выполняется на 91,38% из-за снижения выплат стимулирующего характера: 1. за счет бюджета в связи с дефицитом денежных средств; 2. за счет внебюджетных средств в связи со снижением платных услуг в летний период и действующими в первом полугодии ограничениями, связанными с мерами по предотвращению распространения новой коронавирусной инфекции. Повышение значения средней заработной платы планируется за счет следующих мероприятий: 1. увеличение выплат стимулирующего характера за счет средств от приносящей доход деятельности 2. направление средств экономии по результатам закупок в течение года на выплаты стимулирующего характера. В 2020 году произошло снижение значения средней заработной платы по сравнению с 2019 годом из-за ограничений деятельности учреждений в 2020 году, связанных с мерами по предотвращению распространения новой коронавирусной инфекции, вследствие которых произошло снижение доходов от платных услуг учреждений и уменьшение бюджетных ассигнований.</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14. Торговля и услуги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675"/>
        </w:trPr>
        <w:tc>
          <w:tcPr>
            <w:tcW w:w="5930" w:type="dxa"/>
            <w:vMerge w:val="restart"/>
            <w:hideMark/>
          </w:tcPr>
          <w:p w:rsidR="00A26F69" w:rsidRPr="00D02E0D" w:rsidRDefault="00A26F69" w:rsidP="00A26F69">
            <w:pPr>
              <w:pStyle w:val="af"/>
              <w:rPr>
                <w:rFonts w:cs="Times New Roman"/>
                <w:bCs/>
                <w:sz w:val="20"/>
                <w:szCs w:val="20"/>
              </w:rPr>
            </w:pPr>
            <w:r w:rsidRPr="00D02E0D">
              <w:rPr>
                <w:rFonts w:cs="Times New Roman"/>
                <w:bCs/>
                <w:sz w:val="20"/>
                <w:szCs w:val="20"/>
              </w:rPr>
              <w:t>Крупнейшие предприятия оптовой торговли</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Основной вид деятельности (краткое описание)</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Планы развития предприятия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Склад, ул. Северная, д. 5б , 100 кв. м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оптовая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Замена оборудования  складских помещений</w:t>
            </w:r>
          </w:p>
        </w:tc>
      </w:tr>
      <w:tr w:rsidR="00A26F69" w:rsidRPr="00D02E0D" w:rsidTr="00A26F69">
        <w:trPr>
          <w:trHeight w:val="33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Склад. Ул. Горького, д. 6, пом 17 , 30 кв.м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оптовая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Ремонт помещения (50 кв.м.) </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База, пер. Строительный , д. 9А, 51 т кв.м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оптовая торговля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Планируется проведение косметического ремонта 2 т.кв.метров</w:t>
            </w:r>
          </w:p>
        </w:tc>
      </w:tr>
      <w:tr w:rsidR="00A26F69" w:rsidRPr="00D02E0D" w:rsidTr="00A26F69">
        <w:trPr>
          <w:trHeight w:val="33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675"/>
        </w:trPr>
        <w:tc>
          <w:tcPr>
            <w:tcW w:w="5930" w:type="dxa"/>
            <w:vMerge w:val="restart"/>
            <w:hideMark/>
          </w:tcPr>
          <w:p w:rsidR="00A26F69" w:rsidRPr="00D02E0D" w:rsidRDefault="00A26F69" w:rsidP="00A26F69">
            <w:pPr>
              <w:pStyle w:val="af"/>
              <w:rPr>
                <w:rFonts w:cs="Times New Roman"/>
                <w:bCs/>
                <w:sz w:val="20"/>
                <w:szCs w:val="20"/>
              </w:rPr>
            </w:pPr>
            <w:r w:rsidRPr="00D02E0D">
              <w:rPr>
                <w:rFonts w:cs="Times New Roman"/>
                <w:bCs/>
                <w:sz w:val="20"/>
                <w:szCs w:val="20"/>
              </w:rPr>
              <w:t>Крупнейшие предприятия розничной торговли</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Основной вид деятельности (краткое описание)</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Планы развития предприятия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Торговый центр "Меридиан"( 11525 кв.м) , ул. Ялагина, 4;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 фитнесс</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Ремонт входной круппы</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Торгово-развлекательный центр "Эльград"( 59885 кв.м.) , пр. Ленина, д. 0/10;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 кинотеатр, фитнесс</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Замена асфальтового покрытия на парковке</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 Культурно-развлекательный центр "Парк Плаза"( 15500 кв.м.), ул. Радио;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 кинотеатр</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Ремонт ступеней входной группы, ремонт туалетов</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 Гипермаркеты "Глобус" - 32200 кв.м.     и "МаксиДом" -16260 кв.м.     с.п. Степановское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оборудования в торговом центре "Максидом"</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Торговый центр"Центральный"(4760 кв.м.)ул. Карла Маркса;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 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Ремонт складских и бытовых помещений, работы по кровле</w:t>
            </w:r>
          </w:p>
        </w:tc>
      </w:tr>
      <w:tr w:rsidR="00A26F69" w:rsidRPr="00D02E0D" w:rsidTr="00A26F69">
        <w:trPr>
          <w:trHeight w:val="675"/>
        </w:trPr>
        <w:tc>
          <w:tcPr>
            <w:tcW w:w="5930" w:type="dxa"/>
            <w:vMerge w:val="restart"/>
            <w:hideMark/>
          </w:tcPr>
          <w:p w:rsidR="00A26F69" w:rsidRPr="00D02E0D" w:rsidRDefault="00A26F69" w:rsidP="00A26F69">
            <w:pPr>
              <w:pStyle w:val="af"/>
              <w:rPr>
                <w:rFonts w:cs="Times New Roman"/>
                <w:bCs/>
                <w:sz w:val="20"/>
                <w:szCs w:val="20"/>
              </w:rPr>
            </w:pPr>
            <w:r w:rsidRPr="00D02E0D">
              <w:rPr>
                <w:rFonts w:cs="Times New Roman"/>
                <w:bCs/>
                <w:sz w:val="20"/>
                <w:szCs w:val="20"/>
              </w:rPr>
              <w:t>Крупнейшие предприятия общественного питания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Основной вид деятельности (краткое описание)</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Планы развития предприятия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"Кафе "Восточное", г.Электросталь, ул. Карла маркса, д. 47а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общественное питание (кафе),70  посадочных мест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ООО "Гиперглобус", г.о. Электросталь, п. Случайное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общесственное питание (кафе) , 490 посадочных мест</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795"/>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Кафе "Пекин" , ИП Ильин Иван Александрович, г.Павловский Посад, ул.Кузьмина , д.35, кв.158</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кафе "Фабрика обедов", 70 посадочных мест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г.Электросталь, ул. Красная д. 9-ф</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общеситвенное питание кафе "Корона", 80 посадочных мест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"ДАС" , г. Электростпль, ул. Карла Маркса, д. 34</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кафе "Тройка", 80 посадочных мест</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Площадь торговых объектов</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72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площади торговых объектов предприятий розничной торговли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2020 году введено общей площади торговых объектов 8 тыс.кв.метров, в том числе: 3 магазина "Светофор", дилерский центр "Лада",  более 2000 кв.метров торговых площадей в магазине "Маяк" по ул. Тевосяна, ООО "Авангард Консалтинг"  - торгово-офисный центр, ул. Комсомольская, д. 1,площадью 1100 кв.м. и др. В 2021 году введено общей площади торговых объектов: 3,8 тыс.кв.м., в том числе: два магазина «Пятерочка», магазины-«Пивокуров», «Щедрая лавка», «Бакалея», «Планета Сантехники», «Вольт» и др. До конца 2021 года планируется ввести в действие еще 1,6 тыс.кв. м торговых площадей. Всего за 2021 год 5,4 тыс.кв.метров. Будут  введены ООО "Азбука жилья", торгово-офисное здание, ул. Карла Маркса, магазин  по ул. Победы, комплекс зданий торгового комплекса, д. Есино,  торговое здание по ул. Карла Маркса.  </w:t>
            </w:r>
          </w:p>
        </w:tc>
      </w:tr>
      <w:tr w:rsidR="00A26F69" w:rsidRPr="00D02E0D" w:rsidTr="00A26F69">
        <w:trPr>
          <w:trHeight w:val="103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площади объектов оптовой торговли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xml:space="preserve">Территория городского округа Электросталь имеет ограниченную территорию застройки. Объекты оптовой торговли  размещены на территории складов и продовольственных баз крупных торговых организаций. Свободные территории и площади для строительства и размещения новых объектов отсутствуют. На присоединенных в 2018 году территориях с.п.Степановское объекты оптовой торговли отсутствуют, размещение новых не планируется  в связи с отсутствием  инвесторов и свободных земельных участков.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Оборот розничной торговли</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66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Причины увеличения/снижения оборота розничной торговли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Несмотря на негативные факторы, связанные с распространением коронавирусной инфекции в городском округе Электросталь в отчетном 2020 году наблюдается рост оборота розничной торговли. Причина увеличения заключена в росте площадей торговых объектов, в 2020 году были введены в эксплуатацию объекты, строительство которых было начато до пандемии: торгово-офисное здание на у.Карла Маркса 19, магазин "Пятерочка" на ул.Захарченко и др. Также на рост оборота розничной торговли значительное влияние оказал рост цен на товары первой необходимости.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2021 году рост оборота розничной торговли обусловлен увеличением торговых площадей объектов, интенсивным развитием системы доставки товаров на дом. Доставку товаров на дом осуществляют: Гипермаркет "Глобус", магазины торговых  сетей "Перекресток", "Пятерочка" и пр. В 2021 году планируются к открытию торговые центры на ул.Журавлева, на ул.Спортивная, на ул. Карла Маркса и др. В городском округе интенсивно развивается ярмарочная торговля, в 2021 году введена дополнительная площадка для проведения ярмарок.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прогнозном периоде планируется умеренный рост оборота розничной торговли. Причина - увеличение торговых площадей и рост покупательской способности жителей города в силу прогнозируемого роста средней заработной платы работников. Предпринимаемые меры государственной поддержки малоимущих граждан также повлияют на рост товарооборота.</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Планируемые к открытию в прогнозном периоде объекты торговли</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Год ввода в эксплуатацию</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Краткое описание (с указанием площади)</w:t>
            </w:r>
          </w:p>
        </w:tc>
      </w:tr>
      <w:tr w:rsidR="00A26F69" w:rsidRPr="00D02E0D" w:rsidTr="00A26F69">
        <w:trPr>
          <w:trHeight w:val="126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Объекты розничной торговли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Торговый объект , ул. Спортивная, бывшая лыжная база, 1200</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Торгово-офисное здание , в котором расположены офисные помещения и аппартаменты, игровые зоны для детей, предприятия общественного питания и торговли</w:t>
            </w:r>
          </w:p>
        </w:tc>
      </w:tr>
      <w:tr w:rsidR="00A26F69" w:rsidRPr="00D02E0D" w:rsidTr="00A26F69">
        <w:trPr>
          <w:trHeight w:val="103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ул. Захарченко, торговые объекты на 1 этаже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Торгово-офисное  здание , в котором расположены офисные помещения,  предприятия общественного питания и торговли</w:t>
            </w:r>
          </w:p>
        </w:tc>
      </w:tr>
      <w:tr w:rsidR="00A26F69" w:rsidRPr="00D02E0D" w:rsidTr="00A26F69">
        <w:trPr>
          <w:trHeight w:val="79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Уул. Захарченко,800 кв.м., магазин</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Торговое здание , в котором расположены помещения и аппартаменты,  предприятия общественного питания и торговли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Торговое здание </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Торговое здание для продажи строительных материалов</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Объекты оптовой торговли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не планируется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не планируется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Объекты общественного питания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Кафе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общественного питания плоощадью около 200 метров</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Кафе</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общественного питания плоощадью более 200 метров</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Лаунж бар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общественного питания, 65 посадочных 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17. Образование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Дошкольное образование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48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Общая характеристика развития сети учреждений дошкольного образования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2020 году произошла очередная реорганизация путем объединения ДОУ №1 и №55 в ДОУ №1 и ДОУ №22 присоединили к общеобразовательному учреждению "СОШ №13 с УИОП". Количество мест для детей дошкольного возраста не изменилось. В 2021 году с 1 сентября планируется создать образовательные комплексы путем присоединения дошкольных учреждений к общеобразовательным учреждениям. В городе будут функционировать только 2 дошкольных учреждения, но количество мест в дошкольных группах не уменьшится. В 2022 году планируется построить ноый сад на 140 мест за счет инвестора, что еще увеличит места в дошкольных отделениях образовательных комплексов.</w:t>
            </w:r>
          </w:p>
        </w:tc>
      </w:tr>
      <w:tr w:rsidR="00A26F69" w:rsidRPr="00D02E0D" w:rsidTr="00A26F69">
        <w:trPr>
          <w:trHeight w:val="67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Планируемые ко вводу в эксплуатацию в прогнозном периоде объекты учреждений дошкольного образования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2022 году планируется построить новый сад на 140 мест за счет инвестора.</w:t>
            </w:r>
          </w:p>
        </w:tc>
      </w:tr>
      <w:tr w:rsidR="00A26F69" w:rsidRPr="00D02E0D" w:rsidTr="00A26F69">
        <w:trPr>
          <w:trHeight w:val="103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Характеристика обеспеченности населения местами в дошкольных образовательных организациях в отчетном, текущем и прогнозном периодах</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Все дети города обеспечены местами в дошкольные учреждения на 100%. Очередь ликвидирована. На 100% удовлетворен спрос родителей на услугу дошкольного образования для детей в возрасте 1,5 - 7 лет – очереди в детский сад в городе нет. В 2020 году особое внимание было направлено на создание дополнительных мест для детей раннего возраста и впервые в 2020 году в ДОУ города осуществлялся прием детей с одного года и 103 ребенка в возрасте 1 года были приняты в ясли.</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Общее образование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48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Общая характеристика развития сети учреждений общего образования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2020 году в системе общего образования 23 общеобразовательных организации, в том числе одна коррекционная школа-интернат №1. Все учащиеся школ обучаются в одну смену. В 2020 году проведена реорганизация: МДОУ  №22 присоединилось к общеобразовательному учреждению МОУ "СОШ №13 с УИОП"", при этом сохранили дошкольные места в полном объеме. в 2021 году с сентября планируется создать 15 общеобразовательных комплексов путем присоединения к школам другие школы и ближайшие по месту расположения дошкольные учреждения. Таким образом, с сентября общее образование будет представлено  19 учреждениями, в которых будут функционировать дошкольные отделения."</w:t>
            </w:r>
          </w:p>
        </w:tc>
      </w:tr>
      <w:tr w:rsidR="00A26F69" w:rsidRPr="00D02E0D" w:rsidTr="00A26F69">
        <w:trPr>
          <w:trHeight w:val="79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lastRenderedPageBreak/>
              <w:t>Планируемые ко вводу в эксплуатацию в прогнозном периоде объекты учреждений общего образования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xml:space="preserve">В конце 2020 года закончилось строительство нового здания на 825 мест МОУ "Гимназия №9" и с 1 сентября введена пристройка на 100 мест к зданию МОУ "СОШ №22 с УИОП". А также начнется проектирование нового здания МБОУ "Фрязевская школа №41 им. Б.А. Воробьева" на 275 мест. </w:t>
            </w:r>
          </w:p>
        </w:tc>
      </w:tr>
    </w:tbl>
    <w:p w:rsidR="00A26F69" w:rsidRDefault="00A26F69" w:rsidP="006048BB">
      <w:pPr>
        <w:pStyle w:val="af"/>
        <w:spacing w:after="0"/>
        <w:ind w:left="0"/>
        <w:rPr>
          <w:rFonts w:cs="Times New Roman"/>
        </w:rPr>
      </w:pPr>
    </w:p>
    <w:p w:rsidR="0034201E" w:rsidRDefault="0034201E" w:rsidP="006048BB">
      <w:pPr>
        <w:pStyle w:val="af"/>
        <w:spacing w:after="0"/>
        <w:ind w:left="0"/>
        <w:rPr>
          <w:rFonts w:cs="Times New Roman"/>
        </w:rPr>
      </w:pPr>
    </w:p>
    <w:p w:rsidR="0034201E" w:rsidRDefault="0034201E" w:rsidP="006048BB">
      <w:pPr>
        <w:pStyle w:val="af"/>
        <w:spacing w:after="0"/>
        <w:ind w:left="0"/>
        <w:rPr>
          <w:rFonts w:cs="Times New Roman"/>
        </w:rPr>
      </w:pPr>
    </w:p>
    <w:sectPr w:rsidR="0034201E" w:rsidSect="00A26F69">
      <w:pgSz w:w="16838" w:h="11906" w:orient="landscape"/>
      <w:pgMar w:top="284" w:right="1134" w:bottom="426"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45" w:rsidRDefault="00546F45" w:rsidP="00D546F7">
      <w:r>
        <w:separator/>
      </w:r>
    </w:p>
  </w:endnote>
  <w:endnote w:type="continuationSeparator" w:id="0">
    <w:p w:rsidR="00546F45" w:rsidRDefault="00546F45"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45" w:rsidRDefault="00546F45" w:rsidP="00D546F7">
      <w:r>
        <w:separator/>
      </w:r>
    </w:p>
  </w:footnote>
  <w:footnote w:type="continuationSeparator" w:id="0">
    <w:p w:rsidR="00546F45" w:rsidRDefault="00546F45" w:rsidP="00D5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6706B80E"/>
    <w:lvl w:ilvl="0" w:tplc="9C60986E">
      <w:start w:val="1"/>
      <w:numFmt w:val="decimal"/>
      <w:lvlText w:val="%1."/>
      <w:lvlJc w:val="left"/>
      <w:pPr>
        <w:ind w:left="1320" w:hanging="780"/>
      </w:pPr>
      <w:rPr>
        <w:rFonts w:ascii="Times New Roman" w:eastAsia="Times New Roman" w:hAnsi="Times New Roman" w:cs="Times New Roman"/>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306DA"/>
    <w:rsid w:val="00030FBA"/>
    <w:rsid w:val="00061549"/>
    <w:rsid w:val="00061DF3"/>
    <w:rsid w:val="00062431"/>
    <w:rsid w:val="000A3C7B"/>
    <w:rsid w:val="000A690C"/>
    <w:rsid w:val="000B6BB8"/>
    <w:rsid w:val="000D2078"/>
    <w:rsid w:val="000F1450"/>
    <w:rsid w:val="00113AAA"/>
    <w:rsid w:val="00120DF6"/>
    <w:rsid w:val="00124351"/>
    <w:rsid w:val="00136420"/>
    <w:rsid w:val="00173915"/>
    <w:rsid w:val="00177DD0"/>
    <w:rsid w:val="001A0CFF"/>
    <w:rsid w:val="001B57D7"/>
    <w:rsid w:val="001C1308"/>
    <w:rsid w:val="001C5AD2"/>
    <w:rsid w:val="001D7001"/>
    <w:rsid w:val="001E4D5D"/>
    <w:rsid w:val="001E6D8E"/>
    <w:rsid w:val="00207170"/>
    <w:rsid w:val="002200D0"/>
    <w:rsid w:val="00225058"/>
    <w:rsid w:val="00235A39"/>
    <w:rsid w:val="0024163F"/>
    <w:rsid w:val="002948BE"/>
    <w:rsid w:val="002B4746"/>
    <w:rsid w:val="002D4479"/>
    <w:rsid w:val="002D7C2C"/>
    <w:rsid w:val="002F0EBB"/>
    <w:rsid w:val="002F5655"/>
    <w:rsid w:val="003165E4"/>
    <w:rsid w:val="003411CE"/>
    <w:rsid w:val="0034201E"/>
    <w:rsid w:val="003532F8"/>
    <w:rsid w:val="00382198"/>
    <w:rsid w:val="00392F1A"/>
    <w:rsid w:val="003A0776"/>
    <w:rsid w:val="003B48BE"/>
    <w:rsid w:val="003B7096"/>
    <w:rsid w:val="003E5490"/>
    <w:rsid w:val="00400D86"/>
    <w:rsid w:val="004141B9"/>
    <w:rsid w:val="004325A0"/>
    <w:rsid w:val="004843B9"/>
    <w:rsid w:val="004969A4"/>
    <w:rsid w:val="004C387B"/>
    <w:rsid w:val="004D37E6"/>
    <w:rsid w:val="004E12D9"/>
    <w:rsid w:val="00503F06"/>
    <w:rsid w:val="0051118A"/>
    <w:rsid w:val="00513D38"/>
    <w:rsid w:val="005248DD"/>
    <w:rsid w:val="0053125A"/>
    <w:rsid w:val="00532B35"/>
    <w:rsid w:val="00546F45"/>
    <w:rsid w:val="00551653"/>
    <w:rsid w:val="005523DD"/>
    <w:rsid w:val="00563433"/>
    <w:rsid w:val="005A234D"/>
    <w:rsid w:val="005C3A01"/>
    <w:rsid w:val="005C453A"/>
    <w:rsid w:val="00600070"/>
    <w:rsid w:val="00602F10"/>
    <w:rsid w:val="006048BB"/>
    <w:rsid w:val="006066B9"/>
    <w:rsid w:val="00614C61"/>
    <w:rsid w:val="00624E9B"/>
    <w:rsid w:val="0064274B"/>
    <w:rsid w:val="00652B2C"/>
    <w:rsid w:val="0067038C"/>
    <w:rsid w:val="006948BD"/>
    <w:rsid w:val="00695D3C"/>
    <w:rsid w:val="006A2C39"/>
    <w:rsid w:val="006A369B"/>
    <w:rsid w:val="006E12B5"/>
    <w:rsid w:val="006F5859"/>
    <w:rsid w:val="006F7CAB"/>
    <w:rsid w:val="00707B78"/>
    <w:rsid w:val="00721C90"/>
    <w:rsid w:val="00764646"/>
    <w:rsid w:val="00796A52"/>
    <w:rsid w:val="007C0D02"/>
    <w:rsid w:val="007D5C3A"/>
    <w:rsid w:val="007D794A"/>
    <w:rsid w:val="007E163C"/>
    <w:rsid w:val="008012F6"/>
    <w:rsid w:val="0081326C"/>
    <w:rsid w:val="00824A63"/>
    <w:rsid w:val="00840BB6"/>
    <w:rsid w:val="00856BE0"/>
    <w:rsid w:val="00875CBC"/>
    <w:rsid w:val="00885137"/>
    <w:rsid w:val="00887339"/>
    <w:rsid w:val="008C5F3B"/>
    <w:rsid w:val="008F3227"/>
    <w:rsid w:val="00932605"/>
    <w:rsid w:val="00932F06"/>
    <w:rsid w:val="00962B99"/>
    <w:rsid w:val="009746AA"/>
    <w:rsid w:val="00983A94"/>
    <w:rsid w:val="0099566B"/>
    <w:rsid w:val="009A3F83"/>
    <w:rsid w:val="009A471B"/>
    <w:rsid w:val="009D1770"/>
    <w:rsid w:val="00A10057"/>
    <w:rsid w:val="00A26F69"/>
    <w:rsid w:val="00A37F90"/>
    <w:rsid w:val="00A5608E"/>
    <w:rsid w:val="00A57020"/>
    <w:rsid w:val="00A73E81"/>
    <w:rsid w:val="00A979ED"/>
    <w:rsid w:val="00AB7A17"/>
    <w:rsid w:val="00AC2AD8"/>
    <w:rsid w:val="00AE2A94"/>
    <w:rsid w:val="00B06948"/>
    <w:rsid w:val="00B06CA5"/>
    <w:rsid w:val="00B3085C"/>
    <w:rsid w:val="00B31EDC"/>
    <w:rsid w:val="00B35581"/>
    <w:rsid w:val="00B3794C"/>
    <w:rsid w:val="00B45810"/>
    <w:rsid w:val="00B45E55"/>
    <w:rsid w:val="00B647D3"/>
    <w:rsid w:val="00BA7709"/>
    <w:rsid w:val="00BD0F35"/>
    <w:rsid w:val="00BF757B"/>
    <w:rsid w:val="00C06251"/>
    <w:rsid w:val="00C22149"/>
    <w:rsid w:val="00C341BD"/>
    <w:rsid w:val="00C4501A"/>
    <w:rsid w:val="00C57610"/>
    <w:rsid w:val="00C73E9C"/>
    <w:rsid w:val="00C87F9B"/>
    <w:rsid w:val="00CA2128"/>
    <w:rsid w:val="00CC0350"/>
    <w:rsid w:val="00CC47F5"/>
    <w:rsid w:val="00CC58B2"/>
    <w:rsid w:val="00CD3E4F"/>
    <w:rsid w:val="00CF361A"/>
    <w:rsid w:val="00CF7112"/>
    <w:rsid w:val="00D02E0D"/>
    <w:rsid w:val="00D24BF3"/>
    <w:rsid w:val="00D36AB5"/>
    <w:rsid w:val="00D37CEF"/>
    <w:rsid w:val="00D546F7"/>
    <w:rsid w:val="00D70E8F"/>
    <w:rsid w:val="00D77E3D"/>
    <w:rsid w:val="00D9295E"/>
    <w:rsid w:val="00D93DF9"/>
    <w:rsid w:val="00DA3CB8"/>
    <w:rsid w:val="00DB4655"/>
    <w:rsid w:val="00DC292A"/>
    <w:rsid w:val="00DD2ED7"/>
    <w:rsid w:val="00E04256"/>
    <w:rsid w:val="00E159AD"/>
    <w:rsid w:val="00E15C26"/>
    <w:rsid w:val="00E2247C"/>
    <w:rsid w:val="00E42BF2"/>
    <w:rsid w:val="00E43CA2"/>
    <w:rsid w:val="00E502E8"/>
    <w:rsid w:val="00E67667"/>
    <w:rsid w:val="00E76300"/>
    <w:rsid w:val="00E80A7D"/>
    <w:rsid w:val="00EA6405"/>
    <w:rsid w:val="00EC13A5"/>
    <w:rsid w:val="00EC2B78"/>
    <w:rsid w:val="00ED38B8"/>
    <w:rsid w:val="00EF5D60"/>
    <w:rsid w:val="00F01393"/>
    <w:rsid w:val="00F148CE"/>
    <w:rsid w:val="00F31591"/>
    <w:rsid w:val="00F50721"/>
    <w:rsid w:val="00F52112"/>
    <w:rsid w:val="00F606D7"/>
    <w:rsid w:val="00F660E4"/>
    <w:rsid w:val="00F94FF5"/>
    <w:rsid w:val="00FA098C"/>
    <w:rsid w:val="00FB10AF"/>
    <w:rsid w:val="00FB18A9"/>
    <w:rsid w:val="00FB7053"/>
    <w:rsid w:val="00FE4282"/>
    <w:rsid w:val="00FF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53CDA-D2BF-4C60-A539-A479D35A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numbering" w:customStyle="1" w:styleId="1">
    <w:name w:val="Нет списка1"/>
    <w:next w:val="a2"/>
    <w:uiPriority w:val="99"/>
    <w:semiHidden/>
    <w:unhideWhenUsed/>
    <w:rsid w:val="006048BB"/>
  </w:style>
  <w:style w:type="table" w:styleId="af5">
    <w:name w:val="Table Grid"/>
    <w:basedOn w:val="a1"/>
    <w:uiPriority w:val="39"/>
    <w:rsid w:val="00604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8">
    <w:name w:val="xl78"/>
    <w:basedOn w:val="a"/>
    <w:rsid w:val="003E549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79">
    <w:name w:val="xl79"/>
    <w:basedOn w:val="a"/>
    <w:rsid w:val="003E54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b/>
      <w:bCs/>
      <w:sz w:val="18"/>
      <w:szCs w:val="18"/>
    </w:rPr>
  </w:style>
  <w:style w:type="paragraph" w:customStyle="1" w:styleId="xl80">
    <w:name w:val="xl80"/>
    <w:basedOn w:val="a"/>
    <w:rsid w:val="003E54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81">
    <w:name w:val="xl81"/>
    <w:basedOn w:val="a"/>
    <w:rsid w:val="003E5490"/>
    <w:pPr>
      <w:spacing w:before="100" w:beforeAutospacing="1" w:after="100" w:afterAutospacing="1"/>
      <w:textAlignment w:val="center"/>
    </w:pPr>
    <w:rPr>
      <w:rFonts w:ascii="Tahoma" w:hAnsi="Tahoma" w:cs="Tahoma"/>
      <w:sz w:val="18"/>
      <w:szCs w:val="18"/>
    </w:rPr>
  </w:style>
  <w:style w:type="paragraph" w:customStyle="1" w:styleId="xl82">
    <w:name w:val="xl82"/>
    <w:basedOn w:val="a"/>
    <w:rsid w:val="003E5490"/>
    <w:pPr>
      <w:spacing w:before="100" w:beforeAutospacing="1" w:after="100" w:afterAutospacing="1"/>
      <w:textAlignment w:val="top"/>
    </w:pPr>
    <w:rPr>
      <w:rFonts w:ascii="Tahoma" w:hAnsi="Tahoma" w:cs="Tahoma"/>
      <w:sz w:val="28"/>
      <w:szCs w:val="28"/>
    </w:rPr>
  </w:style>
  <w:style w:type="paragraph" w:customStyle="1" w:styleId="xl83">
    <w:name w:val="xl83"/>
    <w:basedOn w:val="a"/>
    <w:rsid w:val="003E5490"/>
    <w:pPr>
      <w:spacing w:before="100" w:beforeAutospacing="1" w:after="100" w:afterAutospacing="1"/>
      <w:textAlignment w:val="top"/>
    </w:pPr>
    <w:rPr>
      <w:rFonts w:ascii="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329066710">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2613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35A8-AA8F-4FC1-A8EA-BEF88156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14125</Words>
  <Characters>80515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veltsnn</dc:creator>
  <cp:lastModifiedBy>Наталья Вельц</cp:lastModifiedBy>
  <cp:revision>2</cp:revision>
  <cp:lastPrinted>2021-09-07T07:30:00Z</cp:lastPrinted>
  <dcterms:created xsi:type="dcterms:W3CDTF">2021-09-07T13:36:00Z</dcterms:created>
  <dcterms:modified xsi:type="dcterms:W3CDTF">2021-09-07T13:36:00Z</dcterms:modified>
</cp:coreProperties>
</file>