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B3" w:rsidRDefault="00C47EB3" w:rsidP="00C65F0D">
      <w:pPr>
        <w:ind w:right="-2"/>
        <w:jc w:val="center"/>
      </w:pPr>
    </w:p>
    <w:p w:rsidR="00C65F0D" w:rsidRPr="0048040F" w:rsidRDefault="00C65F0D" w:rsidP="00C65F0D">
      <w:pPr>
        <w:ind w:right="-2"/>
        <w:jc w:val="center"/>
      </w:pPr>
      <w:r w:rsidRPr="0048040F"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0D" w:rsidRPr="0048040F" w:rsidRDefault="00C65F0D" w:rsidP="00C65F0D">
      <w:pPr>
        <w:ind w:right="-2" w:firstLine="1701"/>
        <w:rPr>
          <w:b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АДМИНИСТРАЦИЯ ГОРОДСКОГО ОКРУГА ЭЛЕКТРОСТАЛЬ</w:t>
      </w:r>
    </w:p>
    <w:p w:rsidR="00C65F0D" w:rsidRPr="0048040F" w:rsidRDefault="00C65F0D" w:rsidP="00C65F0D">
      <w:pPr>
        <w:ind w:right="-2"/>
        <w:jc w:val="center"/>
        <w:rPr>
          <w:b/>
          <w:sz w:val="12"/>
          <w:szCs w:val="12"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МОСКОВСКОЙ ОБЛАСТИ</w:t>
      </w:r>
    </w:p>
    <w:p w:rsidR="00C65F0D" w:rsidRPr="0048040F" w:rsidRDefault="00C65F0D" w:rsidP="00C65F0D">
      <w:pPr>
        <w:ind w:right="-2" w:firstLine="1701"/>
        <w:jc w:val="center"/>
        <w:rPr>
          <w:sz w:val="16"/>
          <w:szCs w:val="16"/>
        </w:rPr>
      </w:pPr>
    </w:p>
    <w:p w:rsidR="00C65F0D" w:rsidRPr="0048040F" w:rsidRDefault="00C65F0D" w:rsidP="00C65F0D">
      <w:pPr>
        <w:ind w:right="-2"/>
        <w:jc w:val="center"/>
        <w:rPr>
          <w:b/>
          <w:sz w:val="44"/>
        </w:rPr>
      </w:pPr>
      <w:r w:rsidRPr="0048040F">
        <w:rPr>
          <w:b/>
          <w:sz w:val="44"/>
        </w:rPr>
        <w:t>ПОСТАНОВЛЕНИЕ</w:t>
      </w:r>
    </w:p>
    <w:p w:rsidR="00C65F0D" w:rsidRPr="003B55B0" w:rsidRDefault="00514911" w:rsidP="00C65F0D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___</w:t>
      </w:r>
      <w:r w:rsidR="007A2401">
        <w:rPr>
          <w:sz w:val="24"/>
          <w:szCs w:val="24"/>
        </w:rPr>
        <w:t>____</w:t>
      </w:r>
      <w:r>
        <w:rPr>
          <w:sz w:val="24"/>
          <w:szCs w:val="24"/>
        </w:rPr>
        <w:t>______№_____</w:t>
      </w:r>
      <w:r w:rsidR="007A2401"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:rsidR="00C65F0D" w:rsidRDefault="00C65F0D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26D1B" w:rsidRDefault="00126D1B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</w:p>
    <w:p w:rsidR="009F310B" w:rsidRPr="002B0F1A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="00DA1110"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7A2401" w:rsidRPr="00D875C5">
        <w:rPr>
          <w:sz w:val="24"/>
          <w:szCs w:val="24"/>
        </w:rPr>
        <w:t xml:space="preserve">решением Совета депутатов городского округа Электросталь Московской области от 16.12.2021 № 106/22 «О бюджете городского округа Электросталь Московской области на 2022 год и на плановый период 2023 и 2024 годов»,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</w:t>
      </w:r>
      <w:r w:rsidR="00A06BF7">
        <w:rPr>
          <w:sz w:val="24"/>
          <w:szCs w:val="24"/>
        </w:rPr>
        <w:t>.2021</w:t>
      </w:r>
      <w:r w:rsidR="007E3C5B">
        <w:rPr>
          <w:sz w:val="24"/>
          <w:szCs w:val="24"/>
        </w:rPr>
        <w:t xml:space="preserve"> №141/2</w:t>
      </w:r>
      <w:r w:rsidR="00B71AA3">
        <w:rPr>
          <w:sz w:val="24"/>
          <w:szCs w:val="24"/>
        </w:rPr>
        <w:t>, от 15.03.2021 № 207</w:t>
      </w:r>
      <w:proofErr w:type="gramEnd"/>
      <w:r w:rsidR="00B71AA3">
        <w:rPr>
          <w:sz w:val="24"/>
          <w:szCs w:val="24"/>
        </w:rPr>
        <w:t>/</w:t>
      </w:r>
      <w:proofErr w:type="gramStart"/>
      <w:r w:rsidR="00B71AA3">
        <w:rPr>
          <w:sz w:val="24"/>
          <w:szCs w:val="24"/>
        </w:rPr>
        <w:t>3</w:t>
      </w:r>
      <w:r w:rsidR="00DA1110">
        <w:rPr>
          <w:sz w:val="24"/>
          <w:szCs w:val="24"/>
        </w:rPr>
        <w:t>,</w:t>
      </w:r>
      <w:r w:rsidR="00DA1110" w:rsidRPr="00DA1110">
        <w:rPr>
          <w:sz w:val="24"/>
          <w:szCs w:val="24"/>
        </w:rPr>
        <w:t xml:space="preserve"> </w:t>
      </w:r>
      <w:r w:rsidR="00DA1110">
        <w:rPr>
          <w:sz w:val="24"/>
          <w:szCs w:val="24"/>
        </w:rPr>
        <w:t>от 27.05.2021 №414/5</w:t>
      </w:r>
      <w:r w:rsidR="00AB49F2">
        <w:rPr>
          <w:sz w:val="24"/>
          <w:szCs w:val="24"/>
        </w:rPr>
        <w:t>, от 04.08.2021 №617/8</w:t>
      </w:r>
      <w:r w:rsidR="00C16093">
        <w:rPr>
          <w:sz w:val="24"/>
          <w:szCs w:val="24"/>
        </w:rPr>
        <w:t>, от 27.08.2021 №677/8</w:t>
      </w:r>
      <w:r w:rsidR="006716B3">
        <w:rPr>
          <w:sz w:val="24"/>
          <w:szCs w:val="24"/>
        </w:rPr>
        <w:t>, от 30.09.2021 №749/9</w:t>
      </w:r>
      <w:r w:rsidR="00514911">
        <w:rPr>
          <w:sz w:val="24"/>
          <w:szCs w:val="24"/>
        </w:rPr>
        <w:t>, от 22.10.2021 №788/10</w:t>
      </w:r>
      <w:r w:rsidR="0055365D">
        <w:rPr>
          <w:sz w:val="24"/>
          <w:szCs w:val="24"/>
        </w:rPr>
        <w:t>, от 04.02.2022 №116/2</w:t>
      </w:r>
      <w:r w:rsidR="006E688B">
        <w:rPr>
          <w:sz w:val="24"/>
          <w:szCs w:val="24"/>
        </w:rPr>
        <w:t xml:space="preserve">, от </w:t>
      </w:r>
      <w:r w:rsidR="00C75C92">
        <w:rPr>
          <w:sz w:val="24"/>
          <w:szCs w:val="24"/>
        </w:rPr>
        <w:t>16.03.2022 №248/3</w:t>
      </w:r>
      <w:r w:rsidR="000D155A">
        <w:rPr>
          <w:sz w:val="24"/>
          <w:szCs w:val="24"/>
        </w:rPr>
        <w:t>, от 30.03.2022 №301/3</w:t>
      </w:r>
      <w:r w:rsidR="009515C9">
        <w:rPr>
          <w:sz w:val="24"/>
          <w:szCs w:val="24"/>
        </w:rPr>
        <w:t>, _________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  <w:proofErr w:type="gramEnd"/>
    </w:p>
    <w:p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</w:hyperlink>
      <w:r w:rsidRPr="001747DC">
        <w:rPr>
          <w:sz w:val="24"/>
          <w:szCs w:val="24"/>
        </w:rPr>
        <w:t>.</w:t>
      </w:r>
    </w:p>
    <w:p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proofErr w:type="gramStart"/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</w:t>
      </w:r>
      <w:proofErr w:type="gramEnd"/>
      <w:r w:rsidR="001600D8" w:rsidRPr="004B10AC">
        <w:rPr>
          <w:sz w:val="24"/>
          <w:szCs w:val="24"/>
        </w:rPr>
        <w:t xml:space="preserve"> </w:t>
      </w:r>
      <w:r w:rsidR="00F6558F">
        <w:rPr>
          <w:sz w:val="24"/>
          <w:szCs w:val="24"/>
        </w:rPr>
        <w:t>ис</w:t>
      </w:r>
      <w:r w:rsidR="001600D8" w:rsidRPr="004B10AC">
        <w:rPr>
          <w:sz w:val="24"/>
          <w:szCs w:val="24"/>
        </w:rPr>
        <w:t>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:rsidR="002B0F1A" w:rsidRDefault="002B0F1A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100788" w:rsidTr="00100788">
        <w:tc>
          <w:tcPr>
            <w:tcW w:w="4672" w:type="dxa"/>
          </w:tcPr>
          <w:p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D83D7F" w:rsidRDefault="00D83D7F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p w:rsidR="000D155A" w:rsidRDefault="009E612F" w:rsidP="00B43768">
      <w:pPr>
        <w:spacing w:line="240" w:lineRule="exact"/>
        <w:jc w:val="both"/>
        <w:rPr>
          <w:sz w:val="24"/>
          <w:szCs w:val="24"/>
        </w:rPr>
      </w:pPr>
      <w:r w:rsidRPr="00700F78">
        <w:rPr>
          <w:sz w:val="24"/>
          <w:szCs w:val="24"/>
        </w:rPr>
        <w:t xml:space="preserve">Рассылка: </w:t>
      </w:r>
      <w:proofErr w:type="spellStart"/>
      <w:r>
        <w:rPr>
          <w:sz w:val="24"/>
          <w:szCs w:val="24"/>
        </w:rPr>
        <w:t>Печниковой</w:t>
      </w:r>
      <w:proofErr w:type="spellEnd"/>
      <w:r>
        <w:rPr>
          <w:sz w:val="24"/>
          <w:szCs w:val="24"/>
        </w:rPr>
        <w:t xml:space="preserve"> О.В.,</w:t>
      </w:r>
      <w:r w:rsidRPr="00700F78">
        <w:rPr>
          <w:sz w:val="24"/>
          <w:szCs w:val="24"/>
        </w:rPr>
        <w:t xml:space="preserve"> Денисову В.А., </w:t>
      </w:r>
      <w:proofErr w:type="spellStart"/>
      <w:r w:rsidRPr="00700F78">
        <w:rPr>
          <w:sz w:val="24"/>
          <w:szCs w:val="24"/>
        </w:rPr>
        <w:t>Бузурной</w:t>
      </w:r>
      <w:proofErr w:type="spellEnd"/>
      <w:r w:rsidRPr="00700F78">
        <w:rPr>
          <w:sz w:val="24"/>
          <w:szCs w:val="24"/>
        </w:rPr>
        <w:t xml:space="preserve"> И.В., </w:t>
      </w:r>
      <w:r w:rsidR="00397179">
        <w:rPr>
          <w:sz w:val="24"/>
          <w:szCs w:val="24"/>
        </w:rPr>
        <w:t>Уварову С.А</w:t>
      </w:r>
      <w:r w:rsidRPr="00700F78">
        <w:rPr>
          <w:sz w:val="24"/>
          <w:szCs w:val="24"/>
        </w:rPr>
        <w:t xml:space="preserve">., </w:t>
      </w:r>
      <w:r w:rsidR="005736F6">
        <w:rPr>
          <w:sz w:val="24"/>
          <w:szCs w:val="24"/>
        </w:rPr>
        <w:t>Никитиной Е.В.</w:t>
      </w:r>
      <w:r w:rsidRPr="00700F78">
        <w:rPr>
          <w:sz w:val="24"/>
          <w:szCs w:val="24"/>
        </w:rPr>
        <w:t xml:space="preserve">, </w:t>
      </w:r>
      <w:r w:rsidR="00B90FDF">
        <w:rPr>
          <w:sz w:val="24"/>
          <w:szCs w:val="24"/>
        </w:rPr>
        <w:t>Булановой Л.В.,</w:t>
      </w:r>
      <w:r w:rsidR="00B90FDF" w:rsidRPr="00755054">
        <w:rPr>
          <w:sz w:val="24"/>
          <w:szCs w:val="24"/>
        </w:rPr>
        <w:t xml:space="preserve"> </w:t>
      </w:r>
      <w:r w:rsidRPr="00700F78">
        <w:rPr>
          <w:sz w:val="24"/>
          <w:szCs w:val="24"/>
        </w:rPr>
        <w:t xml:space="preserve">Даницкой Е.П., </w:t>
      </w:r>
      <w:r w:rsidR="006C74C9">
        <w:rPr>
          <w:sz w:val="24"/>
          <w:szCs w:val="24"/>
        </w:rPr>
        <w:t xml:space="preserve">Головиной Е.Ю., </w:t>
      </w:r>
      <w:r w:rsidRPr="00700F78">
        <w:rPr>
          <w:sz w:val="24"/>
          <w:szCs w:val="24"/>
        </w:rPr>
        <w:t>Елихину О.Н., ООО «ЭЛКОД», МБУ «Благоустройство», в прокуратуру, в регистр муниципальных нормативных правовых актов, в дело.</w:t>
      </w:r>
    </w:p>
    <w:p w:rsidR="000D155A" w:rsidRDefault="000D155A" w:rsidP="00B43768">
      <w:pPr>
        <w:spacing w:line="240" w:lineRule="exact"/>
        <w:jc w:val="both"/>
        <w:rPr>
          <w:color w:val="000000"/>
        </w:rPr>
        <w:sectPr w:rsidR="000D155A" w:rsidSect="00892344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6138B" w:rsidRPr="005577EB" w:rsidRDefault="0016138B" w:rsidP="000D155A">
      <w:pPr>
        <w:spacing w:line="240" w:lineRule="exact"/>
        <w:jc w:val="right"/>
      </w:pPr>
    </w:p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8724"/>
      </w:tblGrid>
      <w:tr w:rsidR="00965B8F" w:rsidTr="000D155A">
        <w:trPr>
          <w:jc w:val="right"/>
        </w:trPr>
        <w:tc>
          <w:tcPr>
            <w:tcW w:w="2050" w:type="pct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50" w:type="pct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  <w:r w:rsidR="00713F0D">
              <w:rPr>
                <w:sz w:val="24"/>
                <w:szCs w:val="24"/>
              </w:rPr>
              <w:t xml:space="preserve"> </w:t>
            </w:r>
            <w:proofErr w:type="gramStart"/>
            <w:r w:rsidRPr="00965B8F">
              <w:rPr>
                <w:sz w:val="24"/>
                <w:szCs w:val="24"/>
              </w:rPr>
              <w:t>от</w:t>
            </w:r>
            <w:proofErr w:type="gramEnd"/>
            <w:r w:rsidRPr="00965B8F">
              <w:rPr>
                <w:sz w:val="24"/>
                <w:szCs w:val="24"/>
              </w:rPr>
              <w:t xml:space="preserve"> __</w:t>
            </w:r>
            <w:r w:rsidR="00D66AC8">
              <w:rPr>
                <w:sz w:val="24"/>
                <w:szCs w:val="24"/>
              </w:rPr>
              <w:t>_</w:t>
            </w:r>
            <w:r w:rsidRPr="00965B8F">
              <w:rPr>
                <w:sz w:val="24"/>
                <w:szCs w:val="24"/>
              </w:rPr>
              <w:t>_</w:t>
            </w:r>
            <w:r w:rsidR="0008510C">
              <w:rPr>
                <w:sz w:val="24"/>
                <w:szCs w:val="24"/>
              </w:rPr>
              <w:t>_</w:t>
            </w:r>
            <w:r w:rsidR="000D155A">
              <w:rPr>
                <w:sz w:val="24"/>
                <w:szCs w:val="24"/>
              </w:rPr>
              <w:t>______</w:t>
            </w:r>
            <w:r w:rsidR="0008510C">
              <w:rPr>
                <w:sz w:val="24"/>
                <w:szCs w:val="24"/>
              </w:rPr>
              <w:t>___</w:t>
            </w:r>
            <w:r w:rsidRPr="00965B8F">
              <w:rPr>
                <w:sz w:val="24"/>
                <w:szCs w:val="24"/>
              </w:rPr>
              <w:t>№____</w:t>
            </w:r>
            <w:r w:rsidR="0008510C">
              <w:rPr>
                <w:sz w:val="24"/>
                <w:szCs w:val="24"/>
              </w:rPr>
              <w:t>__</w:t>
            </w:r>
            <w:r w:rsidR="000D155A">
              <w:rPr>
                <w:sz w:val="24"/>
                <w:szCs w:val="24"/>
              </w:rPr>
              <w:t>____</w:t>
            </w:r>
            <w:r w:rsidR="0008510C">
              <w:rPr>
                <w:sz w:val="24"/>
                <w:szCs w:val="24"/>
              </w:rPr>
              <w:t>____</w:t>
            </w:r>
          </w:p>
          <w:p w:rsidR="00965B8F" w:rsidRPr="00965B8F" w:rsidRDefault="00965B8F" w:rsidP="00713F0D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proofErr w:type="gramStart"/>
            <w:r w:rsidRPr="00965B8F">
              <w:rPr>
                <w:sz w:val="24"/>
                <w:szCs w:val="24"/>
              </w:rPr>
              <w:t>«УТВЕРЖДЕНА</w:t>
            </w:r>
            <w:r w:rsidR="00713F0D">
              <w:rPr>
                <w:sz w:val="24"/>
                <w:szCs w:val="24"/>
              </w:rPr>
              <w:t xml:space="preserve"> П</w:t>
            </w:r>
            <w:r w:rsidRPr="00965B8F">
              <w:rPr>
                <w:sz w:val="24"/>
                <w:szCs w:val="24"/>
              </w:rPr>
              <w:t>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0D155A">
              <w:rPr>
                <w:sz w:val="24"/>
                <w:szCs w:val="24"/>
              </w:rPr>
              <w:t>16.12.2019</w:t>
            </w:r>
            <w:r w:rsidR="000D155A" w:rsidRPr="000D155A">
              <w:rPr>
                <w:sz w:val="24"/>
                <w:szCs w:val="24"/>
              </w:rPr>
              <w:t xml:space="preserve"> </w:t>
            </w:r>
            <w:r w:rsidRPr="000D155A">
              <w:rPr>
                <w:sz w:val="24"/>
                <w:szCs w:val="24"/>
              </w:rPr>
              <w:t>№</w:t>
            </w:r>
            <w:r w:rsidR="00BC1016" w:rsidRPr="000D155A">
              <w:rPr>
                <w:sz w:val="24"/>
                <w:szCs w:val="24"/>
              </w:rPr>
              <w:t> </w:t>
            </w:r>
            <w:r w:rsidRPr="000D155A">
              <w:rPr>
                <w:sz w:val="24"/>
                <w:szCs w:val="24"/>
              </w:rPr>
              <w:t>962/12</w:t>
            </w:r>
            <w:r w:rsidR="000D155A">
              <w:rPr>
                <w:sz w:val="24"/>
                <w:szCs w:val="24"/>
              </w:rPr>
              <w:t xml:space="preserve"> </w:t>
            </w:r>
            <w:r w:rsidR="000D155A" w:rsidRPr="000D155A">
              <w:rPr>
                <w:sz w:val="24"/>
                <w:szCs w:val="24"/>
              </w:rPr>
              <w:t>(в</w:t>
            </w:r>
            <w:r w:rsidR="000D1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редакции</w:t>
            </w:r>
            <w:r w:rsidRPr="00965B8F">
              <w:rPr>
                <w:sz w:val="24"/>
                <w:szCs w:val="24"/>
              </w:rPr>
              <w:t xml:space="preserve"> </w:t>
            </w:r>
            <w:r w:rsidR="000D155A">
              <w:rPr>
                <w:sz w:val="24"/>
                <w:szCs w:val="24"/>
              </w:rPr>
              <w:t>п</w:t>
            </w:r>
            <w:r w:rsidRPr="00965B8F">
              <w:rPr>
                <w:sz w:val="24"/>
                <w:szCs w:val="24"/>
              </w:rPr>
              <w:t>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</w:t>
            </w:r>
            <w:proofErr w:type="gramEnd"/>
            <w:r w:rsidR="00AB49F2">
              <w:rPr>
                <w:sz w:val="24"/>
                <w:szCs w:val="24"/>
              </w:rPr>
              <w:t>/</w:t>
            </w:r>
            <w:proofErr w:type="gramStart"/>
            <w:r w:rsidR="00AB49F2">
              <w:rPr>
                <w:sz w:val="24"/>
                <w:szCs w:val="24"/>
              </w:rPr>
              <w:t>8</w:t>
            </w:r>
            <w:r w:rsidR="00C16093">
              <w:rPr>
                <w:sz w:val="24"/>
                <w:szCs w:val="24"/>
              </w:rPr>
              <w:t>, от 27.08.2021 №677/8</w:t>
            </w:r>
            <w:r w:rsidR="006716B3">
              <w:rPr>
                <w:sz w:val="24"/>
                <w:szCs w:val="24"/>
              </w:rPr>
              <w:t>,</w:t>
            </w:r>
            <w:r w:rsidR="00C75C2E">
              <w:rPr>
                <w:sz w:val="24"/>
                <w:szCs w:val="24"/>
              </w:rPr>
              <w:t xml:space="preserve"> от 30.09.2021 №749/9</w:t>
            </w:r>
            <w:r w:rsidR="00514911">
              <w:rPr>
                <w:sz w:val="24"/>
                <w:szCs w:val="24"/>
              </w:rPr>
              <w:t>, от 22.10.2021 №788/10</w:t>
            </w:r>
            <w:r w:rsidR="0055365D">
              <w:rPr>
                <w:sz w:val="24"/>
                <w:szCs w:val="24"/>
              </w:rPr>
              <w:t>, от 04.02.2022 №116/2</w:t>
            </w:r>
            <w:r w:rsidR="006E688B">
              <w:rPr>
                <w:sz w:val="24"/>
                <w:szCs w:val="24"/>
              </w:rPr>
              <w:t xml:space="preserve">, от </w:t>
            </w:r>
            <w:r w:rsidR="00C75C92">
              <w:rPr>
                <w:sz w:val="24"/>
                <w:szCs w:val="24"/>
              </w:rPr>
              <w:t>16.03.2022 №248/3</w:t>
            </w:r>
            <w:r w:rsidR="00713F0D">
              <w:rPr>
                <w:sz w:val="24"/>
                <w:szCs w:val="24"/>
              </w:rPr>
              <w:t>, от 30.03.2022 №301/3</w:t>
            </w:r>
            <w:r w:rsidR="009515C9">
              <w:rPr>
                <w:sz w:val="24"/>
                <w:szCs w:val="24"/>
              </w:rPr>
              <w:t>, ______________</w:t>
            </w:r>
            <w:r w:rsidRPr="00965B8F">
              <w:rPr>
                <w:sz w:val="24"/>
                <w:szCs w:val="24"/>
              </w:rPr>
              <w:t>)</w:t>
            </w:r>
            <w:proofErr w:type="gramEnd"/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39C5" w:rsidRPr="007B2CF8" w:rsidRDefault="0016138B" w:rsidP="000D155A">
      <w:pPr>
        <w:jc w:val="center"/>
        <w:rPr>
          <w:b/>
          <w:sz w:val="22"/>
          <w:szCs w:val="22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097EBE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</w:pPr>
    </w:p>
    <w:p w:rsidR="00713F0D" w:rsidRPr="00761E34" w:rsidRDefault="00713F0D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713F0D" w:rsidRPr="00761E34" w:rsidSect="000D155A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/>
      </w:tblPr>
      <w:tblGrid>
        <w:gridCol w:w="4378"/>
        <w:gridCol w:w="1775"/>
        <w:gridCol w:w="1719"/>
        <w:gridCol w:w="2106"/>
        <w:gridCol w:w="1628"/>
        <w:gridCol w:w="1572"/>
        <w:gridCol w:w="1490"/>
      </w:tblGrid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8445F5" w:rsidRPr="001C2DE9" w:rsidTr="00F672EF">
        <w:trPr>
          <w:trHeight w:val="51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052987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718 411,019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138 067,490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052987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208 979,295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132 741</w:t>
            </w:r>
            <w:r w:rsidR="005736F6">
              <w:rPr>
                <w:color w:val="000000"/>
              </w:rPr>
              <w:t>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</w:t>
            </w:r>
            <w:r w:rsidR="00316710">
              <w:rPr>
                <w:color w:val="000000"/>
              </w:rPr>
              <w:t>,655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052987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367 199,000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</w:t>
            </w:r>
            <w:r w:rsidR="00C97BEF">
              <w:rPr>
                <w:bCs/>
                <w:color w:val="000000"/>
              </w:rPr>
              <w:t>393</w:t>
            </w:r>
            <w:r>
              <w:rPr>
                <w:bCs/>
                <w:color w:val="000000"/>
              </w:rPr>
              <w:t>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F81B1D" w:rsidP="00F672EF">
            <w:pPr>
              <w:jc w:val="center"/>
              <w:rPr>
                <w:color w:val="000000"/>
              </w:rPr>
            </w:pPr>
            <w:r w:rsidRPr="00F81B1D">
              <w:rPr>
                <w:color w:val="000000"/>
              </w:rPr>
              <w:t>65 490,000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0529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52987">
              <w:rPr>
                <w:color w:val="000000"/>
              </w:rPr>
              <w:t> 085 610,019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C160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243 460,490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4A3C5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52987">
              <w:rPr>
                <w:color w:val="000000"/>
              </w:rPr>
              <w:t>74 469,295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188 561</w:t>
            </w:r>
            <w:r w:rsidR="005736F6">
              <w:rPr>
                <w:color w:val="000000"/>
              </w:rPr>
              <w:t>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</w:t>
            </w:r>
            <w:r w:rsidR="00316710">
              <w:rPr>
                <w:color w:val="000000"/>
              </w:rPr>
              <w:t>,655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lastRenderedPageBreak/>
              <w:t>КИО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BF6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814" w:rsidRPr="001C2DE9" w:rsidRDefault="00104814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052987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718 356,019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138 037,490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052987" w:rsidP="00951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  <w:r w:rsidR="009515C9">
              <w:rPr>
                <w:color w:val="000000"/>
              </w:rPr>
              <w:t> 538,095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132 741,197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114 797,655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814" w:rsidRPr="001C2DE9" w:rsidRDefault="00104814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052987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367 199,000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105 393,000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F81B1D" w:rsidP="00F672EF">
            <w:pPr>
              <w:jc w:val="center"/>
              <w:rPr>
                <w:color w:val="000000"/>
              </w:rPr>
            </w:pPr>
            <w:r w:rsidRPr="00F81B1D">
              <w:rPr>
                <w:color w:val="000000"/>
              </w:rPr>
              <w:t>65 490,000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814" w:rsidRPr="001C2DE9" w:rsidRDefault="00104814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814" w:rsidRPr="001C2DE9" w:rsidRDefault="00104814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529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52987">
              <w:rPr>
                <w:color w:val="000000"/>
              </w:rPr>
              <w:t> 085 555,019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243 430,490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052987" w:rsidP="00951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  <w:r w:rsidR="009515C9">
              <w:rPr>
                <w:color w:val="000000"/>
              </w:rPr>
              <w:t> 028,095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188 561,197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181 868,655</w:t>
            </w:r>
          </w:p>
        </w:tc>
      </w:tr>
    </w:tbl>
    <w:p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lastRenderedPageBreak/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 xml:space="preserve"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="00316710">
        <w:rPr>
          <w:rFonts w:ascii="Times New Roman" w:hAnsi="Times New Roman"/>
          <w:sz w:val="24"/>
          <w:szCs w:val="24"/>
        </w:rPr>
        <w:t>14.05.2021</w:t>
      </w:r>
      <w:r w:rsidRPr="00AB48C3">
        <w:rPr>
          <w:rFonts w:ascii="Times New Roman" w:hAnsi="Times New Roman"/>
          <w:sz w:val="24"/>
          <w:szCs w:val="24"/>
        </w:rPr>
        <w:t xml:space="preserve">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="00316710">
        <w:rPr>
          <w:rFonts w:ascii="Times New Roman" w:hAnsi="Times New Roman"/>
          <w:sz w:val="24"/>
          <w:szCs w:val="24"/>
        </w:rPr>
        <w:t>378/5</w:t>
      </w:r>
      <w:r w:rsidRPr="00AB48C3">
        <w:rPr>
          <w:rFonts w:ascii="Times New Roman" w:hAnsi="Times New Roman"/>
          <w:sz w:val="24"/>
          <w:szCs w:val="24"/>
        </w:rPr>
        <w:t xml:space="preserve">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</w:t>
      </w:r>
      <w:r w:rsidRPr="004479DE">
        <w:rPr>
          <w:color w:val="auto"/>
        </w:rPr>
        <w:lastRenderedPageBreak/>
        <w:t xml:space="preserve">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Пассажирский транспорт направлен на достижение приоритетов и целей социально-экономического развития городского округа в 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4479DE" w:rsidRDefault="004479DE" w:rsidP="00FF7AF3">
      <w:pPr>
        <w:ind w:firstLine="709"/>
        <w:jc w:val="both"/>
        <w:rPr>
          <w:sz w:val="24"/>
          <w:szCs w:val="24"/>
        </w:rPr>
      </w:pPr>
    </w:p>
    <w:p w:rsidR="000D155A" w:rsidRPr="004479DE" w:rsidRDefault="000D155A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3. Прогноз развития соответствующей сферы реализации </w:t>
      </w:r>
    </w:p>
    <w:p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proofErr w:type="spellStart"/>
      <w:r w:rsidRPr="008F6526">
        <w:rPr>
          <w:sz w:val="24"/>
          <w:szCs w:val="24"/>
        </w:rPr>
        <w:t>песко-соляной</w:t>
      </w:r>
      <w:proofErr w:type="spellEnd"/>
      <w:r w:rsidRPr="008F6526">
        <w:rPr>
          <w:sz w:val="24"/>
          <w:szCs w:val="24"/>
        </w:rPr>
        <w:t xml:space="preserve">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lastRenderedPageBreak/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:rsidR="00DD3A1B" w:rsidRPr="009B3571" w:rsidRDefault="0050743C" w:rsidP="004B1E27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tbl>
      <w:tblPr>
        <w:tblpPr w:leftFromText="180" w:rightFromText="180" w:vertAnchor="text" w:tblpX="-318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9"/>
        <w:gridCol w:w="3702"/>
        <w:gridCol w:w="1701"/>
        <w:gridCol w:w="1134"/>
        <w:gridCol w:w="1276"/>
        <w:gridCol w:w="1026"/>
        <w:gridCol w:w="816"/>
        <w:gridCol w:w="992"/>
        <w:gridCol w:w="992"/>
        <w:gridCol w:w="987"/>
        <w:gridCol w:w="6"/>
        <w:gridCol w:w="1559"/>
      </w:tblGrid>
      <w:tr w:rsidR="00ED2134" w:rsidRPr="0002514E" w:rsidTr="00F32C19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№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proofErr w:type="gramStart"/>
            <w:r w:rsidRPr="0002514E">
              <w:rPr>
                <w:sz w:val="18"/>
                <w:szCs w:val="18"/>
              </w:rPr>
              <w:t>п</w:t>
            </w:r>
            <w:proofErr w:type="gramEnd"/>
            <w:r w:rsidRPr="0002514E">
              <w:rPr>
                <w:sz w:val="18"/>
                <w:szCs w:val="18"/>
              </w:rPr>
              <w:t>/п</w:t>
            </w:r>
          </w:p>
        </w:tc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3C" w:rsidRPr="0002514E" w:rsidRDefault="0050743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Показатели </w:t>
            </w:r>
            <w:r w:rsidR="00ED2134" w:rsidRPr="0002514E">
              <w:rPr>
                <w:sz w:val="18"/>
                <w:szCs w:val="18"/>
              </w:rPr>
              <w:t xml:space="preserve">реализации муниципальной программы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Базовое значение на начало реализации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ED2134" w:rsidRPr="0002514E" w:rsidTr="00F32C19">
        <w:trPr>
          <w:trHeight w:val="2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2424A" w:rsidRDefault="00ED2134" w:rsidP="006A6477">
            <w:pPr>
              <w:jc w:val="center"/>
              <w:rPr>
                <w:sz w:val="18"/>
                <w:szCs w:val="18"/>
              </w:rPr>
            </w:pPr>
            <w:r w:rsidRPr="00D2424A"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D2134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</w:t>
            </w:r>
          </w:p>
        </w:tc>
      </w:tr>
      <w:tr w:rsidR="00DD3A1B" w:rsidRPr="0002514E" w:rsidTr="00AD57E3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1B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  <w:r w:rsidR="0050743C" w:rsidRPr="0002514E">
              <w:rPr>
                <w:sz w:val="18"/>
                <w:szCs w:val="18"/>
              </w:rPr>
              <w:t>.</w:t>
            </w:r>
          </w:p>
        </w:tc>
        <w:tc>
          <w:tcPr>
            <w:tcW w:w="141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1B" w:rsidRPr="0002514E" w:rsidRDefault="00DD3A1B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</w:t>
            </w:r>
            <w:r w:rsidRPr="0002514E">
              <w:rPr>
                <w:b/>
                <w:sz w:val="18"/>
                <w:szCs w:val="18"/>
              </w:rPr>
              <w:t xml:space="preserve"> « Пассажирский транспорт общего пользования»</w:t>
            </w:r>
          </w:p>
        </w:tc>
      </w:tr>
      <w:tr w:rsidR="008269A3" w:rsidRPr="0002514E" w:rsidTr="00F32C19">
        <w:trPr>
          <w:trHeight w:val="91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8269A3" w:rsidP="00F32C19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88,48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8269A3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AC6230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Обращение Губернатора МО (приоритетный показатель)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92,94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AD57E3" w:rsidRDefault="00240CC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B7250A" w:rsidRPr="0002514E" w:rsidTr="00AD57E3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50A" w:rsidRPr="0002514E" w:rsidRDefault="00B7250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</w:t>
            </w:r>
          </w:p>
        </w:tc>
        <w:tc>
          <w:tcPr>
            <w:tcW w:w="141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50A" w:rsidRPr="0002514E" w:rsidRDefault="00B7250A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II</w:t>
            </w:r>
            <w:r w:rsidR="0057192A" w:rsidRPr="0002514E">
              <w:rPr>
                <w:b/>
                <w:sz w:val="18"/>
                <w:szCs w:val="18"/>
              </w:rPr>
              <w:t xml:space="preserve"> «Дороги Подмосковья</w:t>
            </w:r>
            <w:r w:rsidRPr="0002514E">
              <w:rPr>
                <w:b/>
                <w:sz w:val="18"/>
                <w:szCs w:val="18"/>
              </w:rPr>
              <w:t>»</w:t>
            </w:r>
          </w:p>
        </w:tc>
      </w:tr>
      <w:tr w:rsidR="0000020E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841E29" w:rsidP="00B74A78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 xml:space="preserve">Объёмы ввода в эксплуатацию после строительства и </w:t>
            </w:r>
            <w:proofErr w:type="gramStart"/>
            <w:r w:rsidRPr="00AD57E3">
              <w:rPr>
                <w:sz w:val="18"/>
                <w:szCs w:val="18"/>
              </w:rPr>
              <w:t>реконструкции</w:t>
            </w:r>
            <w:proofErr w:type="gramEnd"/>
            <w:r w:rsidRPr="00AD57E3">
              <w:rPr>
                <w:sz w:val="18"/>
                <w:szCs w:val="18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AD57E3" w:rsidRDefault="0000020E" w:rsidP="00B75BA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proofErr w:type="gramStart"/>
            <w:r w:rsidRPr="00AD57E3">
              <w:rPr>
                <w:sz w:val="18"/>
                <w:szCs w:val="18"/>
              </w:rPr>
              <w:t>км</w:t>
            </w:r>
            <w:proofErr w:type="gramEnd"/>
            <w:r w:rsidRPr="00AD57E3">
              <w:rPr>
                <w:sz w:val="18"/>
                <w:szCs w:val="18"/>
              </w:rPr>
              <w:t xml:space="preserve"> / </w:t>
            </w:r>
            <w:proofErr w:type="spellStart"/>
            <w:r w:rsidRPr="00AD57E3">
              <w:rPr>
                <w:sz w:val="18"/>
                <w:szCs w:val="18"/>
              </w:rPr>
              <w:t>пог.м</w:t>
            </w:r>
            <w:proofErr w:type="spellEnd"/>
            <w:r w:rsidRPr="00AD57E3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DD3A1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</w:t>
            </w:r>
            <w:r w:rsidR="0000020E" w:rsidRPr="0002514E">
              <w:rPr>
                <w:sz w:val="18"/>
                <w:szCs w:val="18"/>
              </w:rPr>
              <w:t>5</w:t>
            </w:r>
          </w:p>
        </w:tc>
      </w:tr>
      <w:tr w:rsidR="00BD5BBB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8D" w:rsidRDefault="00ED518D" w:rsidP="00ED51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</w:t>
            </w:r>
          </w:p>
          <w:p w:rsidR="00BD5BBB" w:rsidRPr="00AD57E3" w:rsidRDefault="00BD5BBB" w:rsidP="00DE01CF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AC6230" w:rsidRPr="00AD57E3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1AC" w:rsidRPr="00AD57E3" w:rsidRDefault="00BD5BBB" w:rsidP="006A6477">
            <w:pPr>
              <w:jc w:val="center"/>
              <w:rPr>
                <w:sz w:val="18"/>
                <w:szCs w:val="18"/>
              </w:rPr>
            </w:pPr>
            <w:proofErr w:type="gramStart"/>
            <w:r w:rsidRPr="00AD57E3">
              <w:rPr>
                <w:sz w:val="18"/>
                <w:szCs w:val="18"/>
              </w:rPr>
              <w:t>км</w:t>
            </w:r>
            <w:proofErr w:type="gramEnd"/>
            <w:r w:rsidRPr="00AD57E3">
              <w:rPr>
                <w:sz w:val="18"/>
                <w:szCs w:val="18"/>
              </w:rPr>
              <w:t>/</w:t>
            </w:r>
          </w:p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тыс.кв</w:t>
            </w:r>
            <w:proofErr w:type="gramStart"/>
            <w:r w:rsidRPr="00AD57E3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4,326/30,284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2/</w:t>
            </w:r>
          </w:p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13,9967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030C05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11,912/83,3718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052987" w:rsidP="0005298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13,851</w:t>
            </w:r>
            <w:r w:rsidR="00ED518D"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color w:val="000000"/>
                <w:sz w:val="18"/>
                <w:szCs w:val="18"/>
              </w:rPr>
              <w:t>53,78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E3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4,9099/</w:t>
            </w:r>
          </w:p>
          <w:p w:rsidR="00BD5BBB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34,3699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5,8997/</w:t>
            </w:r>
          </w:p>
          <w:p w:rsidR="00AD57E3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41,2979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D67C6D" w:rsidRPr="0002514E" w:rsidTr="00F32C19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713F0D">
            <w:pPr>
              <w:ind w:left="-92" w:right="-108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Рейтинг-50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чел./</w:t>
            </w:r>
          </w:p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5,43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D67C6D" w:rsidRPr="0002514E" w:rsidTr="00F32C19">
        <w:trPr>
          <w:trHeight w:val="2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AD57E3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 xml:space="preserve">Количество погибших в дорожно-транспортных происшествиях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Рейтинг-50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чел./</w:t>
            </w:r>
          </w:p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9F6C90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3,942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AD57E3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AD57E3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</w:p>
        </w:tc>
      </w:tr>
      <w:tr w:rsidR="00ED2134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3A6BFA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</w:t>
            </w:r>
            <w:r w:rsidR="00B75BA7">
              <w:rPr>
                <w:sz w:val="18"/>
                <w:szCs w:val="18"/>
              </w:rPr>
              <w:t xml:space="preserve"> до 2021 года</w:t>
            </w:r>
            <w:r w:rsidRPr="0002514E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8"/>
                <w:szCs w:val="18"/>
              </w:rPr>
            </w:pPr>
            <w:proofErr w:type="gramStart"/>
            <w:r w:rsidRPr="0002514E">
              <w:rPr>
                <w:sz w:val="18"/>
                <w:szCs w:val="18"/>
              </w:rPr>
              <w:t>м</w:t>
            </w:r>
            <w:proofErr w:type="gramEnd"/>
            <w:r w:rsidRPr="0002514E">
              <w:rPr>
                <w:sz w:val="18"/>
                <w:szCs w:val="18"/>
              </w:rPr>
              <w:t>/места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  <w:r w:rsidR="008269A3" w:rsidRPr="0002514E">
              <w:rPr>
                <w:sz w:val="18"/>
                <w:szCs w:val="18"/>
              </w:rPr>
              <w:t>5</w:t>
            </w:r>
          </w:p>
        </w:tc>
      </w:tr>
    </w:tbl>
    <w:p w:rsidR="004B1E27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7. Методика </w:t>
      </w:r>
      <w:proofErr w:type="gramStart"/>
      <w:r w:rsidRPr="009B3571">
        <w:rPr>
          <w:sz w:val="24"/>
          <w:szCs w:val="24"/>
        </w:rPr>
        <w:t xml:space="preserve">расчета значений </w:t>
      </w:r>
      <w:r w:rsidR="00D836C5">
        <w:rPr>
          <w:sz w:val="24"/>
          <w:szCs w:val="24"/>
        </w:rPr>
        <w:t>планируемых результатов реализации</w:t>
      </w:r>
      <w:r w:rsidRPr="009B3571">
        <w:rPr>
          <w:sz w:val="24"/>
          <w:szCs w:val="24"/>
        </w:rPr>
        <w:t xml:space="preserve"> муниципальной программы</w:t>
      </w:r>
      <w:r w:rsidR="006304DC">
        <w:rPr>
          <w:sz w:val="24"/>
          <w:szCs w:val="24"/>
        </w:rPr>
        <w:t xml:space="preserve"> городского округа</w:t>
      </w:r>
      <w:proofErr w:type="gramEnd"/>
      <w:r w:rsidR="006304DC">
        <w:rPr>
          <w:sz w:val="24"/>
          <w:szCs w:val="24"/>
        </w:rPr>
        <w:t xml:space="preserve"> Электросталь Московской области </w:t>
      </w:r>
      <w:r w:rsidR="006304DC" w:rsidRPr="002B0F1A">
        <w:rPr>
          <w:bCs/>
          <w:sz w:val="24"/>
          <w:szCs w:val="24"/>
        </w:rPr>
        <w:t>«</w:t>
      </w:r>
      <w:r w:rsidR="006304DC" w:rsidRPr="002B0F1A">
        <w:rPr>
          <w:sz w:val="24"/>
          <w:szCs w:val="24"/>
        </w:rPr>
        <w:t>Развитие и функционирование дорожно-транспортно</w:t>
      </w:r>
      <w:r w:rsidR="006304DC">
        <w:rPr>
          <w:sz w:val="24"/>
          <w:szCs w:val="24"/>
        </w:rPr>
        <w:t>го комплекса»</w:t>
      </w:r>
    </w:p>
    <w:p w:rsidR="00713F0D" w:rsidRPr="009B3571" w:rsidRDefault="00713F0D" w:rsidP="004B1E27">
      <w:pPr>
        <w:jc w:val="center"/>
        <w:rPr>
          <w:color w:val="FF0000"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EE32BB" w:rsidTr="00AC6230">
        <w:trPr>
          <w:trHeight w:val="276"/>
        </w:trPr>
        <w:tc>
          <w:tcPr>
            <w:tcW w:w="738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№</w:t>
            </w:r>
          </w:p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EE32BB">
              <w:rPr>
                <w:sz w:val="18"/>
                <w:szCs w:val="18"/>
              </w:rPr>
              <w:t>п</w:t>
            </w:r>
            <w:proofErr w:type="gramEnd"/>
            <w:r w:rsidRPr="00EE32BB">
              <w:rPr>
                <w:sz w:val="18"/>
                <w:szCs w:val="18"/>
              </w:rPr>
              <w:t>/п</w:t>
            </w:r>
          </w:p>
        </w:tc>
        <w:tc>
          <w:tcPr>
            <w:tcW w:w="3799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EE32BB" w:rsidTr="00AC6230">
        <w:trPr>
          <w:trHeight w:val="28"/>
        </w:trPr>
        <w:tc>
          <w:tcPr>
            <w:tcW w:w="738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6</w:t>
            </w:r>
          </w:p>
        </w:tc>
      </w:tr>
      <w:tr w:rsidR="003676E7" w:rsidRPr="00EE32BB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</w:rPr>
              <w:t xml:space="preserve"> </w:t>
            </w:r>
            <w:r w:rsidR="0000020E" w:rsidRPr="00EE32BB">
              <w:rPr>
                <w:sz w:val="18"/>
                <w:szCs w:val="18"/>
                <w:lang w:val="en-US"/>
              </w:rPr>
              <w:t>I</w:t>
            </w:r>
            <w:r w:rsidRPr="00EE32B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EE32BB" w:rsidTr="00AC6230">
        <w:trPr>
          <w:trHeight w:val="250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1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E32B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332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2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EE32BB">
              <w:rPr>
                <w:sz w:val="18"/>
                <w:szCs w:val="18"/>
              </w:rPr>
              <w:t>Ср=Рдв</w:t>
            </w:r>
            <w:proofErr w:type="spellEnd"/>
            <w:r w:rsidRPr="00EE32BB">
              <w:rPr>
                <w:sz w:val="18"/>
                <w:szCs w:val="18"/>
              </w:rPr>
              <w:t>*100%</w:t>
            </w:r>
          </w:p>
          <w:p w:rsidR="0050743C" w:rsidRPr="00EE32B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 – процент соблюдения расписа</w:t>
            </w:r>
            <w:r w:rsidR="0000020E" w:rsidRPr="00EE32BB">
              <w:rPr>
                <w:sz w:val="18"/>
                <w:szCs w:val="18"/>
              </w:rPr>
              <w:t>ния на муниципальных маршрутах.</w:t>
            </w:r>
            <w:r w:rsidRPr="00EE32BB">
              <w:rPr>
                <w:sz w:val="18"/>
                <w:szCs w:val="18"/>
              </w:rPr>
              <w:br/>
            </w:r>
            <w:proofErr w:type="spellStart"/>
            <w:r w:rsidRPr="00EE32BB">
              <w:rPr>
                <w:sz w:val="18"/>
                <w:szCs w:val="18"/>
              </w:rPr>
              <w:t>Рдв</w:t>
            </w:r>
            <w:proofErr w:type="spellEnd"/>
            <w:r w:rsidRPr="00EE32BB">
              <w:rPr>
                <w:sz w:val="18"/>
                <w:szCs w:val="18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  <w:lang w:val="en-US"/>
              </w:rPr>
              <w:t xml:space="preserve"> II</w:t>
            </w:r>
            <w:r w:rsidRPr="00EE32B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B75BA7" w:rsidRPr="00EE32BB" w:rsidTr="00AC6230">
        <w:trPr>
          <w:trHeight w:val="390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Объёмы ввода в эксплуатацию после строительства (реконструкции) объектов дорожного хозяйства местного значения </w:t>
            </w:r>
            <w:r w:rsidRPr="00EE32BB">
              <w:rPr>
                <w:i/>
                <w:sz w:val="18"/>
                <w:szCs w:val="18"/>
              </w:rPr>
              <w:t>(при наличии объектов в программе)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EE32BB">
              <w:rPr>
                <w:sz w:val="18"/>
                <w:szCs w:val="18"/>
              </w:rPr>
              <w:t>км</w:t>
            </w:r>
            <w:proofErr w:type="gramEnd"/>
            <w:r w:rsidRPr="00EE32BB">
              <w:rPr>
                <w:sz w:val="18"/>
                <w:szCs w:val="18"/>
              </w:rPr>
              <w:t xml:space="preserve"> / </w:t>
            </w:r>
            <w:proofErr w:type="spellStart"/>
            <w:r w:rsidRPr="00EE32BB">
              <w:rPr>
                <w:sz w:val="18"/>
                <w:szCs w:val="18"/>
              </w:rPr>
              <w:t>пог.м</w:t>
            </w:r>
            <w:proofErr w:type="spellEnd"/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B75BA7" w:rsidRPr="00EE32BB" w:rsidTr="00AC6230">
        <w:trPr>
          <w:trHeight w:val="253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:rsidR="00B75BA7" w:rsidRPr="00EE32BB" w:rsidRDefault="00B75BA7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Ремонт (капитальный ремонт) сети автомобильных дорог </w:t>
            </w:r>
            <w:r w:rsidR="0052091B">
              <w:rPr>
                <w:sz w:val="18"/>
                <w:szCs w:val="18"/>
              </w:rPr>
              <w:t xml:space="preserve">общего пользования </w:t>
            </w:r>
            <w:r w:rsidRPr="00EE32BB">
              <w:rPr>
                <w:sz w:val="18"/>
                <w:szCs w:val="18"/>
              </w:rPr>
              <w:t xml:space="preserve">местного значения 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км/тыс.кв</w:t>
            </w:r>
            <w:proofErr w:type="gramStart"/>
            <w:r w:rsidRPr="00EE32BB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:rsidR="00FA056D" w:rsidRPr="003A6BFA" w:rsidRDefault="00FA056D" w:rsidP="00FA056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 xml:space="preserve">ДТП. Снижение смертности от дорожно-транспортных происшествий: на дорогах </w:t>
            </w:r>
            <w:r w:rsidRPr="003A6BFA">
              <w:rPr>
                <w:sz w:val="18"/>
                <w:szCs w:val="18"/>
              </w:rPr>
              <w:lastRenderedPageBreak/>
              <w:t>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FA056D" w:rsidRPr="003A6BFA" w:rsidRDefault="00FA056D" w:rsidP="00FA056D">
            <w:pPr>
              <w:jc w:val="center"/>
              <w:rPr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lastRenderedPageBreak/>
              <w:t>чел./100 тыс. населения</w:t>
            </w:r>
          </w:p>
        </w:tc>
        <w:tc>
          <w:tcPr>
            <w:tcW w:w="5474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Носит комплексный характер и достижение запланированных значений возможно только в случае реализации всего комплекса </w:t>
            </w:r>
            <w:r w:rsidRPr="00EE32BB">
              <w:rPr>
                <w:sz w:val="18"/>
                <w:szCs w:val="18"/>
              </w:rPr>
              <w:lastRenderedPageBreak/>
              <w:t>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 xml:space="preserve">Статистические данные Министерства </w:t>
            </w:r>
            <w:r w:rsidRPr="00EE32BB">
              <w:rPr>
                <w:sz w:val="18"/>
                <w:szCs w:val="18"/>
              </w:rPr>
              <w:lastRenderedPageBreak/>
              <w:t>внутренних дел Российской Федерации</w:t>
            </w:r>
          </w:p>
        </w:tc>
        <w:tc>
          <w:tcPr>
            <w:tcW w:w="1701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9" w:type="dxa"/>
          </w:tcPr>
          <w:p w:rsidR="00FA056D" w:rsidRPr="00EE32BB" w:rsidRDefault="00FA056D" w:rsidP="00F32C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rFonts w:eastAsiaTheme="minorEastAsia"/>
                <w:sz w:val="18"/>
                <w:szCs w:val="18"/>
              </w:rPr>
              <w:t>Количество погибших в дорожно-транспортных происшествиях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:rsidR="00FA056D" w:rsidRPr="00EE32BB" w:rsidRDefault="00FA056D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EE32BB">
              <w:rPr>
                <w:sz w:val="18"/>
                <w:szCs w:val="18"/>
              </w:rPr>
              <w:t>м</w:t>
            </w:r>
            <w:proofErr w:type="gramEnd"/>
            <w:r w:rsidRPr="00EE32BB">
              <w:rPr>
                <w:sz w:val="18"/>
                <w:szCs w:val="18"/>
              </w:rPr>
              <w:t>/места</w:t>
            </w:r>
          </w:p>
        </w:tc>
        <w:tc>
          <w:tcPr>
            <w:tcW w:w="5474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:rsidR="00FA056D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  <w:p w:rsidR="00713F0D" w:rsidRPr="00EE32BB" w:rsidRDefault="00713F0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3A21AC" w:rsidRDefault="004B1E27" w:rsidP="00F32C19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713F0D" w:rsidRDefault="00713F0D" w:rsidP="00F32C19">
      <w:pPr>
        <w:tabs>
          <w:tab w:val="left" w:pos="851"/>
        </w:tabs>
        <w:jc w:val="center"/>
        <w:rPr>
          <w:sz w:val="24"/>
          <w:szCs w:val="24"/>
        </w:rPr>
      </w:pP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9. Состав, форма и сроки представления отчетности </w:t>
      </w:r>
    </w:p>
    <w:p w:rsidR="00713F0D" w:rsidRPr="009B3571" w:rsidRDefault="00713F0D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о ходе реализации мероприятия </w:t>
      </w:r>
      <w:proofErr w:type="gramStart"/>
      <w:r w:rsidRPr="009B3571">
        <w:rPr>
          <w:sz w:val="24"/>
          <w:szCs w:val="24"/>
        </w:rPr>
        <w:t>ответственным</w:t>
      </w:r>
      <w:proofErr w:type="gramEnd"/>
      <w:r w:rsidRPr="009B3571">
        <w:rPr>
          <w:sz w:val="24"/>
          <w:szCs w:val="24"/>
        </w:rPr>
        <w:t xml:space="preserve">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C75C92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 xml:space="preserve">Муниципальный заказчик подпрограммы с учетом </w:t>
      </w:r>
      <w:r w:rsidRPr="00C75C92">
        <w:rPr>
          <w:sz w:val="24"/>
          <w:szCs w:val="24"/>
        </w:rPr>
        <w:t xml:space="preserve">представленной ответственным за выполнение мероприятия информации формирует в ГАСУ МО отчетность о реализации муниципальной программы. </w:t>
      </w:r>
    </w:p>
    <w:p w:rsidR="00C75C92" w:rsidRDefault="004B1E27" w:rsidP="000D155A">
      <w:pPr>
        <w:ind w:firstLine="708"/>
        <w:jc w:val="both"/>
      </w:pPr>
      <w:proofErr w:type="gramStart"/>
      <w:r w:rsidRPr="00C75C92">
        <w:rPr>
          <w:sz w:val="24"/>
          <w:szCs w:val="24"/>
        </w:rPr>
        <w:t xml:space="preserve"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D7135D" w:rsidRPr="00C75C92">
        <w:rPr>
          <w:sz w:val="24"/>
          <w:szCs w:val="24"/>
        </w:rPr>
        <w:t xml:space="preserve">от 14.05.2021 № 378/5 «Об утверждении Порядка разработки и реализации муниципальных программ Администрации городского округа Электросталь Московской области» </w:t>
      </w:r>
      <w:r w:rsidR="00C75C92">
        <w:rPr>
          <w:sz w:val="24"/>
          <w:szCs w:val="24"/>
        </w:rPr>
        <w:t xml:space="preserve">(с </w:t>
      </w:r>
      <w:r w:rsidR="00D7135D" w:rsidRPr="00C75C92">
        <w:rPr>
          <w:sz w:val="24"/>
          <w:szCs w:val="24"/>
        </w:rPr>
        <w:t>последующими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изменениями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дополнениями).</w:t>
      </w:r>
      <w:r>
        <w:br w:type="page"/>
      </w:r>
      <w:proofErr w:type="gramEnd"/>
    </w:p>
    <w:p w:rsidR="008D57CB" w:rsidRDefault="00C75C92" w:rsidP="00C75C92">
      <w:pPr>
        <w:jc w:val="center"/>
      </w:pPr>
      <w:r>
        <w:lastRenderedPageBreak/>
        <w:t xml:space="preserve">                                                                                                                        </w:t>
      </w:r>
      <w:r w:rsidR="008D57CB">
        <w:t>Приложение № 1</w:t>
      </w:r>
    </w:p>
    <w:p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2020-2024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0"/>
        <w:gridCol w:w="1149"/>
        <w:gridCol w:w="1296"/>
        <w:gridCol w:w="1440"/>
        <w:gridCol w:w="1293"/>
        <w:gridCol w:w="1296"/>
        <w:gridCol w:w="1149"/>
        <w:gridCol w:w="1053"/>
        <w:gridCol w:w="1012"/>
        <w:gridCol w:w="2202"/>
      </w:tblGrid>
      <w:tr w:rsidR="00551D7C" w:rsidRPr="00635E21" w:rsidTr="001A20F8">
        <w:trPr>
          <w:trHeight w:val="28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1D7C" w:rsidRPr="00635E21" w:rsidRDefault="00551D7C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4055" w:type="pct"/>
            <w:gridSpan w:val="9"/>
          </w:tcPr>
          <w:p w:rsidR="00551D7C" w:rsidRPr="00635E21" w:rsidRDefault="00551D7C" w:rsidP="00551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E54D2" w:rsidRPr="00635E21" w:rsidTr="000E54D2">
        <w:trPr>
          <w:trHeight w:val="278"/>
        </w:trPr>
        <w:tc>
          <w:tcPr>
            <w:tcW w:w="94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9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4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4" w:type="pct"/>
            <w:gridSpan w:val="2"/>
          </w:tcPr>
          <w:p w:rsidR="000E54D2" w:rsidRPr="000E54D2" w:rsidRDefault="000E54D2" w:rsidP="000E54D2">
            <w:pPr>
              <w:contextualSpacing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Справочно</w:t>
            </w:r>
            <w:proofErr w:type="spellEnd"/>
            <w:r>
              <w:rPr>
                <w:i/>
                <w:color w:val="000000"/>
              </w:rPr>
              <w:t>:*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0E54D2" w:rsidRPr="00635E21" w:rsidTr="001A20F8">
        <w:trPr>
          <w:trHeight w:val="840"/>
        </w:trPr>
        <w:tc>
          <w:tcPr>
            <w:tcW w:w="94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/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345" w:type="pct"/>
          </w:tcPr>
          <w:p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0F8" w:rsidRPr="00635E21" w:rsidTr="001A20F8">
        <w:trPr>
          <w:trHeight w:val="111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A20F8" w:rsidRPr="00635E21" w:rsidTr="001A20F8">
        <w:trPr>
          <w:trHeight w:val="194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D662E6">
            <w:pPr>
              <w:jc w:val="center"/>
              <w:rPr>
                <w:color w:val="000000"/>
              </w:rPr>
            </w:pPr>
          </w:p>
        </w:tc>
      </w:tr>
      <w:tr w:rsidR="001A20F8" w:rsidRPr="00635E21" w:rsidTr="001A20F8">
        <w:trPr>
          <w:trHeight w:val="42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662E6">
            <w:pPr>
              <w:jc w:val="center"/>
            </w:pPr>
          </w:p>
        </w:tc>
      </w:tr>
    </w:tbl>
    <w:p w:rsidR="000E54D2" w:rsidRPr="000E54D2" w:rsidRDefault="000E54D2" w:rsidP="000E54D2">
      <w:pPr>
        <w:rPr>
          <w:i/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</w:p>
    <w:p w:rsidR="009366B1" w:rsidRDefault="009366B1" w:rsidP="009366B1">
      <w:pPr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lastRenderedPageBreak/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p w:rsidR="00635E21" w:rsidRPr="009B357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516"/>
        <w:gridCol w:w="2679"/>
        <w:gridCol w:w="1328"/>
        <w:gridCol w:w="1825"/>
        <w:gridCol w:w="707"/>
        <w:gridCol w:w="503"/>
        <w:gridCol w:w="665"/>
        <w:gridCol w:w="665"/>
        <w:gridCol w:w="665"/>
        <w:gridCol w:w="665"/>
        <w:gridCol w:w="665"/>
        <w:gridCol w:w="668"/>
        <w:gridCol w:w="1632"/>
        <w:gridCol w:w="1603"/>
      </w:tblGrid>
      <w:tr w:rsidR="00C50B3C" w:rsidRPr="007F4C4A" w:rsidTr="000D155A">
        <w:trPr>
          <w:trHeight w:val="31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7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C50B3C" w:rsidRPr="007F4C4A" w:rsidTr="000D155A">
        <w:trPr>
          <w:trHeight w:val="37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1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Pr="00551D7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Справочно</w:t>
            </w:r>
            <w:proofErr w:type="spellEnd"/>
            <w:r>
              <w:rPr>
                <w:i/>
                <w:color w:val="000000"/>
              </w:rPr>
              <w:t>:*</w:t>
            </w: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C50B3C" w:rsidRPr="007F4C4A" w:rsidTr="000D155A">
        <w:trPr>
          <w:trHeight w:val="66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ED79D4" w:rsidRPr="007F4C4A" w:rsidTr="000D155A">
        <w:trPr>
          <w:trHeight w:val="1831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</w:t>
            </w:r>
            <w:r>
              <w:rPr>
                <w:color w:val="000000"/>
              </w:rPr>
              <w:t>1</w:t>
            </w:r>
          </w:p>
        </w:tc>
        <w:tc>
          <w:tcPr>
            <w:tcW w:w="6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D4" w:rsidRPr="007F4C4A" w:rsidRDefault="00ED79D4" w:rsidP="00ED79D4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F4C4A" w:rsidRDefault="00ED79D4" w:rsidP="000D155A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9B3571" w:rsidRDefault="00ED79D4" w:rsidP="000D155A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7173F" w:rsidRDefault="00ED79D4" w:rsidP="00ED79D4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D4" w:rsidRPr="0077173F" w:rsidRDefault="00ED79D4" w:rsidP="00ED79D4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ED79D4" w:rsidRPr="007F4C4A" w:rsidTr="000D155A">
        <w:trPr>
          <w:trHeight w:val="539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79D4" w:rsidRPr="003A6BFA" w:rsidRDefault="00ED79D4" w:rsidP="00FA056D">
            <w:pPr>
              <w:contextualSpacing/>
            </w:pPr>
            <w:r w:rsidRPr="003A6BFA">
              <w:t>Основное мероприятие 02. Организация транспортного обслуживания населения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  <w:r w:rsidRPr="003A6BFA">
              <w:t>2022-2024</w:t>
            </w:r>
          </w:p>
        </w:tc>
        <w:tc>
          <w:tcPr>
            <w:tcW w:w="6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D4" w:rsidRPr="003A6BFA" w:rsidRDefault="00ED79D4" w:rsidP="00FA056D">
            <w:pPr>
              <w:contextualSpacing/>
            </w:pPr>
          </w:p>
        </w:tc>
        <w:tc>
          <w:tcPr>
            <w:tcW w:w="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ind w:right="-170"/>
              <w:contextualSpacing/>
              <w:jc w:val="center"/>
            </w:pPr>
            <w:r w:rsidRPr="003A6BFA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  <w:r w:rsidRPr="003A6BFA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0D155A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0D155A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0D155A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4" w:rsidRPr="00551D7C" w:rsidRDefault="00ED79D4" w:rsidP="000D155A">
            <w:pPr>
              <w:ind w:left="-153"/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4" w:rsidRPr="00551D7C" w:rsidRDefault="00ED79D4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D79D4" w:rsidRPr="000834D2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FA056D" w:rsidRPr="007F4C4A" w:rsidTr="000D155A">
        <w:trPr>
          <w:trHeight w:val="161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9B3571" w:rsidRDefault="00FA056D" w:rsidP="000D155A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6D" w:rsidRPr="00551D7C" w:rsidRDefault="00FA056D" w:rsidP="000D155A">
            <w:pPr>
              <w:ind w:left="-153"/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FA056D" w:rsidRPr="007F4C4A" w:rsidTr="000D155A">
        <w:trPr>
          <w:trHeight w:val="77"/>
        </w:trPr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9B3571" w:rsidRDefault="00FA056D" w:rsidP="000D155A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56D" w:rsidRPr="00551D7C" w:rsidRDefault="00FA056D" w:rsidP="000D155A">
            <w:pPr>
              <w:ind w:left="-153"/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0,001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0D155A">
          <w:type w:val="continuous"/>
          <w:pgSz w:w="16838" w:h="11906" w:orient="landscape"/>
          <w:pgMar w:top="1701" w:right="1134" w:bottom="851" w:left="1134" w:header="1276" w:footer="709" w:gutter="0"/>
          <w:cols w:space="708"/>
          <w:docGrid w:linePitch="360"/>
        </w:sect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C50B3C" w:rsidRDefault="00C50B3C">
      <w:pPr>
        <w:rPr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  <w:r>
        <w:rPr>
          <w:sz w:val="24"/>
          <w:szCs w:val="24"/>
        </w:rPr>
        <w:br w:type="page"/>
      </w:r>
    </w:p>
    <w:p w:rsidR="00F672EF" w:rsidRDefault="00F672EF" w:rsidP="00F672EF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72EF" w:rsidRPr="002B0F1A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F672EF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F672EF" w:rsidRDefault="00F672EF" w:rsidP="00F672EF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F672EF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Паспорт подпрограммы </w:t>
      </w:r>
      <w:r w:rsidRPr="009B3571">
        <w:rPr>
          <w:sz w:val="24"/>
          <w:szCs w:val="24"/>
          <w:lang w:val="en-US"/>
        </w:rPr>
        <w:t>II</w:t>
      </w:r>
      <w:r w:rsidRPr="009B3571">
        <w:rPr>
          <w:sz w:val="24"/>
          <w:szCs w:val="24"/>
        </w:rPr>
        <w:t xml:space="preserve"> «Дороги Подмосковья»</w:t>
      </w:r>
      <w:r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на 2020-2024 годы </w:t>
      </w:r>
    </w:p>
    <w:p w:rsidR="00F672EF" w:rsidRPr="009B3571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5078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6"/>
        <w:gridCol w:w="1248"/>
        <w:gridCol w:w="1212"/>
        <w:gridCol w:w="1248"/>
        <w:gridCol w:w="1334"/>
        <w:gridCol w:w="1251"/>
        <w:gridCol w:w="1274"/>
        <w:gridCol w:w="2796"/>
      </w:tblGrid>
      <w:tr w:rsidR="00F672EF" w:rsidRPr="00DC453B" w:rsidTr="00104814">
        <w:trPr>
          <w:trHeight w:val="590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3480" w:type="pct"/>
            <w:gridSpan w:val="7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DC453B" w:rsidTr="00104814">
        <w:trPr>
          <w:trHeight w:val="315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DC453B" w:rsidRDefault="00F672EF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672EF" w:rsidRPr="00DC453B" w:rsidRDefault="00F672EF" w:rsidP="00F672EF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Всего по подпрограмме, 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052987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</w:t>
            </w:r>
            <w:r w:rsidR="00052987">
              <w:rPr>
                <w:color w:val="000000"/>
                <w:sz w:val="18"/>
                <w:szCs w:val="18"/>
              </w:rPr>
              <w:t> 085 610,012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243 460,488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052987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274 469,294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188 561,19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Х</w:t>
            </w:r>
          </w:p>
        </w:tc>
      </w:tr>
      <w:tr w:rsidR="00104814" w:rsidRPr="00DC453B" w:rsidTr="00104814">
        <w:trPr>
          <w:trHeight w:val="77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052987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718 411,012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138 067,488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052987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208 979,294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132 741,19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052987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367 199,000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105 393,000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F81B1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F81B1D">
              <w:rPr>
                <w:color w:val="000000"/>
                <w:sz w:val="18"/>
                <w:szCs w:val="18"/>
              </w:rPr>
              <w:t>65 490,000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:rsidTr="00104814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104814" w:rsidRDefault="00F672EF" w:rsidP="0010481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spell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  <w:proofErr w:type="gram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:в</w:t>
            </w:r>
            <w:proofErr w:type="spellEnd"/>
            <w:proofErr w:type="gramEnd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0529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052987">
              <w:rPr>
                <w:color w:val="000000"/>
                <w:sz w:val="18"/>
                <w:szCs w:val="18"/>
              </w:rPr>
              <w:t> 085 555,012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243 430,488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052987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274 469,294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188 561,19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052987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718 359,012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123 800,380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138 037,488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052987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208 979,294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132 741,19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DC4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052987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367 199,000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105 393,000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F81B1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F81B1D">
              <w:rPr>
                <w:color w:val="000000"/>
                <w:sz w:val="18"/>
                <w:szCs w:val="18"/>
              </w:rPr>
              <w:t>65 490,000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spell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  <w:proofErr w:type="gram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:в</w:t>
            </w:r>
            <w:proofErr w:type="spellEnd"/>
            <w:proofErr w:type="gramEnd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AB206A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AB206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07184C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77173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77173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5B7DF5" w:rsidRDefault="005B7DF5" w:rsidP="00DA007F">
      <w:pPr>
        <w:jc w:val="center"/>
        <w:rPr>
          <w:bCs/>
          <w:color w:val="000000"/>
          <w:sz w:val="24"/>
          <w:szCs w:val="24"/>
        </w:rPr>
      </w:pPr>
    </w:p>
    <w:p w:rsidR="00DA007F" w:rsidRDefault="00F672EF" w:rsidP="00DA007F">
      <w:pPr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="0029537B" w:rsidRPr="009B3571">
        <w:rPr>
          <w:sz w:val="24"/>
          <w:szCs w:val="24"/>
        </w:rPr>
        <w:t>.</w:t>
      </w:r>
      <w:r w:rsidR="00DA007F"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FF1CED" w:rsidRPr="00FF1CED" w:rsidRDefault="00FF1CED" w:rsidP="00DA007F">
      <w:pPr>
        <w:jc w:val="center"/>
        <w:rPr>
          <w:sz w:val="24"/>
        </w:rPr>
      </w:pP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 xml:space="preserve"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</w:t>
      </w:r>
      <w:r w:rsidRPr="009B3571">
        <w:rPr>
          <w:sz w:val="24"/>
          <w:szCs w:val="24"/>
        </w:rPr>
        <w:lastRenderedPageBreak/>
        <w:t>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и работниками М</w:t>
      </w:r>
      <w:r w:rsidR="000E0100">
        <w:rPr>
          <w:sz w:val="24"/>
          <w:szCs w:val="24"/>
        </w:rPr>
        <w:t>БУ</w:t>
      </w:r>
      <w:r w:rsidRPr="009B3571">
        <w:rPr>
          <w:sz w:val="24"/>
          <w:szCs w:val="24"/>
        </w:rPr>
        <w:t xml:space="preserve"> «</w:t>
      </w:r>
      <w:r w:rsidR="000E0100">
        <w:rPr>
          <w:sz w:val="24"/>
          <w:szCs w:val="24"/>
        </w:rPr>
        <w:t>Благоустройство</w:t>
      </w:r>
      <w:r w:rsidRPr="009B3571">
        <w:rPr>
          <w:sz w:val="24"/>
          <w:szCs w:val="24"/>
        </w:rPr>
        <w:t xml:space="preserve">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</w:t>
      </w:r>
      <w:r w:rsidRPr="009B3571">
        <w:rPr>
          <w:sz w:val="24"/>
          <w:szCs w:val="24"/>
        </w:rPr>
        <w:lastRenderedPageBreak/>
        <w:t xml:space="preserve">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 xml:space="preserve">виде </w:t>
      </w:r>
      <w:proofErr w:type="spellStart"/>
      <w:r w:rsidR="00F61C44" w:rsidRPr="009B3571">
        <w:rPr>
          <w:sz w:val="24"/>
          <w:szCs w:val="24"/>
        </w:rPr>
        <w:t>песко</w:t>
      </w:r>
      <w:r w:rsidRPr="009B3571">
        <w:rPr>
          <w:sz w:val="24"/>
          <w:szCs w:val="24"/>
        </w:rPr>
        <w:t>-соляной</w:t>
      </w:r>
      <w:proofErr w:type="spellEnd"/>
      <w:r w:rsidRPr="009B3571">
        <w:rPr>
          <w:sz w:val="24"/>
          <w:szCs w:val="24"/>
        </w:rPr>
        <w:t xml:space="preserve">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422CF6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FF1CED" w:rsidRPr="009B3571" w:rsidRDefault="00F672EF" w:rsidP="00F672EF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tbl>
      <w:tblPr>
        <w:tblW w:w="5050" w:type="pct"/>
        <w:tblInd w:w="60" w:type="dxa"/>
        <w:tblLayout w:type="fixed"/>
        <w:tblLook w:val="04A0"/>
      </w:tblPr>
      <w:tblGrid>
        <w:gridCol w:w="549"/>
        <w:gridCol w:w="1682"/>
        <w:gridCol w:w="1144"/>
        <w:gridCol w:w="1589"/>
        <w:gridCol w:w="1237"/>
        <w:gridCol w:w="1084"/>
        <w:gridCol w:w="1156"/>
        <w:gridCol w:w="1156"/>
        <w:gridCol w:w="1296"/>
        <w:gridCol w:w="1207"/>
        <w:gridCol w:w="1481"/>
        <w:gridCol w:w="1353"/>
      </w:tblGrid>
      <w:tr w:rsidR="00F672EF" w:rsidRPr="00C65F0D" w:rsidTr="00023BA5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C65F0D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65F0D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F672EF" w:rsidRPr="00C65F0D" w:rsidTr="00023BA5">
        <w:trPr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EF4EC8" w:rsidRPr="00C65F0D" w:rsidTr="007A684C">
        <w:trPr>
          <w:trHeight w:val="37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EC8" w:rsidRDefault="00EF4EC8" w:rsidP="00F672EF">
            <w:pPr>
              <w:rPr>
                <w:bCs/>
                <w:color w:val="000000"/>
                <w:sz w:val="16"/>
                <w:szCs w:val="16"/>
              </w:rPr>
            </w:pPr>
          </w:p>
          <w:p w:rsidR="00EF4EC8" w:rsidRDefault="00EF4EC8" w:rsidP="00F672EF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</w:t>
            </w:r>
            <w:r>
              <w:rPr>
                <w:bCs/>
                <w:color w:val="000000"/>
                <w:sz w:val="16"/>
                <w:szCs w:val="16"/>
              </w:rPr>
              <w:t>ного значения</w:t>
            </w:r>
          </w:p>
          <w:p w:rsidR="00EF4EC8" w:rsidRPr="00C65F0D" w:rsidRDefault="00EF4EC8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1 085 610,012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274 469,294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188 561,196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181 868,654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EF4EC8" w:rsidRPr="00C65F0D" w:rsidTr="007A684C">
        <w:trPr>
          <w:trHeight w:val="882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718 411,012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208 979,294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132 741,196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114 797,654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sz w:val="16"/>
                <w:szCs w:val="16"/>
              </w:rPr>
            </w:pPr>
          </w:p>
        </w:tc>
      </w:tr>
      <w:tr w:rsidR="00EF4EC8" w:rsidRPr="00C65F0D" w:rsidTr="007A684C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367 199,000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65 490,000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sz w:val="16"/>
                <w:szCs w:val="16"/>
              </w:rPr>
            </w:pPr>
          </w:p>
        </w:tc>
      </w:tr>
      <w:tr w:rsidR="00EF4EC8" w:rsidRPr="00C65F0D" w:rsidTr="00023BA5">
        <w:trPr>
          <w:trHeight w:val="339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EC8" w:rsidRDefault="00EF4EC8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</w:t>
            </w:r>
            <w:r>
              <w:rPr>
                <w:color w:val="000000"/>
                <w:sz w:val="16"/>
                <w:szCs w:val="16"/>
              </w:rPr>
              <w:t>о пользования местного значения</w:t>
            </w:r>
          </w:p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421C9A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374</w:t>
            </w:r>
            <w:r w:rsidR="00DC5038">
              <w:rPr>
                <w:bCs/>
                <w:color w:val="000000"/>
                <w:sz w:val="16"/>
                <w:szCs w:val="16"/>
              </w:rPr>
              <w:t> 177,000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77173F" w:rsidRDefault="00EF4EC8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68 937,000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77173F" w:rsidRDefault="00EF4EC8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69 601,000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77173F" w:rsidRDefault="00EF4EC8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83 630,000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EF4EC8" w:rsidRPr="00C65F0D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DC50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41 </w:t>
            </w:r>
            <w:r w:rsidR="00DC5038">
              <w:rPr>
                <w:bCs/>
                <w:color w:val="000000"/>
                <w:sz w:val="16"/>
                <w:szCs w:val="16"/>
              </w:rPr>
              <w:t>388</w:t>
            </w:r>
            <w:r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77173F" w:rsidRDefault="00EF4EC8" w:rsidP="0077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3 447,000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77173F" w:rsidRDefault="00EF4EC8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13 781,000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77173F" w:rsidRDefault="00EF4EC8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16 559,000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EF4EC8" w:rsidRPr="00C65F0D" w:rsidTr="00023BA5">
        <w:trPr>
          <w:trHeight w:val="7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DC503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332 789,000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77173F" w:rsidRDefault="00EF4EC8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65 490,000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77173F" w:rsidRDefault="00EF4EC8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77173F" w:rsidRDefault="00EF4EC8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67 071,000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EF4EC8" w:rsidRPr="00C65F0D" w:rsidTr="00023BA5">
        <w:trPr>
          <w:trHeight w:val="381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05.03 Софинансирование работ в целях проведения капиталь</w:t>
            </w:r>
            <w:r>
              <w:rPr>
                <w:color w:val="000000"/>
                <w:sz w:val="16"/>
                <w:szCs w:val="16"/>
              </w:rPr>
              <w:t>ного ремонта и ремонта</w:t>
            </w:r>
            <w:r w:rsidRPr="00C65F0D">
              <w:rPr>
                <w:color w:val="000000"/>
                <w:sz w:val="16"/>
                <w:szCs w:val="16"/>
              </w:rPr>
              <w:t xml:space="preserve"> автомобильных дорог, примыкающих к территориям садоводческих, огороднических и дачных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некоммерческих объединений граждан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77173F" w:rsidRDefault="00EF4EC8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lastRenderedPageBreak/>
              <w:t>2020-2021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26 657,306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11 533,000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СНО</w:t>
            </w:r>
            <w:r w:rsidRPr="00C65F0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F4EC8" w:rsidRPr="00C65F0D" w:rsidTr="00023BA5">
        <w:trPr>
          <w:trHeight w:val="1461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Default="00EF4EC8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EF4EC8" w:rsidRPr="00C65F0D" w:rsidRDefault="00EF4EC8" w:rsidP="003B7A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1 815,306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EF4EC8" w:rsidRPr="00C65F0D" w:rsidTr="00023BA5">
        <w:trPr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24 842,000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11 417,000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EF4EC8" w:rsidRPr="00C65F0D" w:rsidTr="00023BA5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EC8" w:rsidRDefault="00EF4EC8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DC503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622 910,764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77173F" w:rsidRDefault="00EF4EC8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77173F" w:rsidRDefault="00DC5038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191 484,635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77173F" w:rsidRDefault="00EF4EC8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112 506,196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77173F" w:rsidRDefault="00EF4EC8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"Благоустройство", КИО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F1CE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Содержание автодорог, устранение деформация, оформление бесхозных дорог,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стройконтроль</w:t>
            </w:r>
            <w:proofErr w:type="spellEnd"/>
          </w:p>
        </w:tc>
      </w:tr>
      <w:tr w:rsidR="00DC5038" w:rsidRPr="00C65F0D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C300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622 910,764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C300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C300AA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C300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191 484,635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C300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112 506,196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C300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DC5038" w:rsidRPr="00C65F0D" w:rsidTr="00023BA5">
        <w:trPr>
          <w:trHeight w:val="13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DC5038" w:rsidRPr="00C65F0D" w:rsidTr="00023BA5">
        <w:trPr>
          <w:trHeight w:val="2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52 199,942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E62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14 047,659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5B7DF5">
            <w:pPr>
              <w:ind w:right="-163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Пробы грунта на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снегосвалках</w:t>
            </w:r>
            <w:proofErr w:type="spellEnd"/>
            <w:r w:rsidRPr="00C65F0D">
              <w:rPr>
                <w:color w:val="000000"/>
                <w:sz w:val="16"/>
                <w:szCs w:val="16"/>
              </w:rPr>
              <w:t>, Содержание светофоров, покупка ограждений, знаков</w:t>
            </w:r>
          </w:p>
        </w:tc>
      </w:tr>
      <w:tr w:rsidR="00DC5038" w:rsidRPr="00C65F0D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0550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52 199,942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B0550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B055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B055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14 047,659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DC5038" w:rsidRPr="00C65F0D" w:rsidTr="00023BA5">
        <w:trPr>
          <w:trHeight w:hRule="exact" w:val="56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DC5038" w:rsidRPr="00C65F0D" w:rsidTr="00023BA5">
        <w:trPr>
          <w:trHeight w:hRule="exact" w:val="567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4B1B40" w:rsidRDefault="00DC5038" w:rsidP="00F672E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4B1B40">
              <w:rPr>
                <w:bCs/>
                <w:i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5038" w:rsidRPr="004B1B40" w:rsidRDefault="00DC5038" w:rsidP="004B1B40">
            <w:pPr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05.08</w:t>
            </w:r>
            <w:r w:rsidRPr="004B1B40">
              <w:rPr>
                <w:color w:val="000000"/>
                <w:sz w:val="16"/>
                <w:szCs w:val="16"/>
              </w:rPr>
              <w:t xml:space="preserve"> Софинансирование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5038" w:rsidRPr="0077173F" w:rsidRDefault="00DC5038" w:rsidP="00A2726A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73F">
              <w:rPr>
                <w:bCs/>
                <w:iCs/>
                <w:sz w:val="16"/>
                <w:szCs w:val="16"/>
              </w:rPr>
              <w:t>2021-2024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9 665,000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77173F" w:rsidRDefault="00DC5038" w:rsidP="00B455C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9 665,000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77173F" w:rsidRDefault="00DC5038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77173F" w:rsidRDefault="00DC5038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77173F" w:rsidRDefault="00DC5038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038" w:rsidRPr="00C65F0D" w:rsidRDefault="00DC503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СНТ</w:t>
            </w:r>
          </w:p>
        </w:tc>
      </w:tr>
      <w:tr w:rsidR="00DC5038" w:rsidRPr="00C65F0D" w:rsidTr="00023BA5">
        <w:trPr>
          <w:trHeight w:hRule="exact" w:val="56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038" w:rsidRPr="00C65F0D" w:rsidRDefault="00DC5038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038" w:rsidRPr="00C65F0D" w:rsidRDefault="00DC5038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DC5038" w:rsidRPr="00C65F0D" w:rsidTr="00023BA5">
        <w:trPr>
          <w:trHeight w:hRule="exact" w:val="160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8" w:rsidRPr="00C65F0D" w:rsidRDefault="00DC5038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8" w:rsidRPr="00C65F0D" w:rsidRDefault="00DC5038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DC5038" w:rsidRPr="00C65F0D" w:rsidTr="007A684C">
        <w:trPr>
          <w:trHeight w:hRule="exact" w:val="567"/>
        </w:trPr>
        <w:tc>
          <w:tcPr>
            <w:tcW w:w="11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5038" w:rsidRPr="00FF1CED" w:rsidRDefault="00DC5038" w:rsidP="00B455C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Всего по подпрограмме: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FF1CED" w:rsidRDefault="00DC5038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718 411,012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208 979,294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132 741,196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114 797,654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C5038" w:rsidRPr="00C65F0D" w:rsidTr="007A684C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038" w:rsidRPr="00FF1CED" w:rsidRDefault="00DC5038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FF1CED" w:rsidRDefault="00DC5038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367 199,000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65 490,000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B455CF">
            <w:pPr>
              <w:rPr>
                <w:color w:val="000000"/>
                <w:sz w:val="16"/>
                <w:szCs w:val="16"/>
              </w:rPr>
            </w:pPr>
          </w:p>
        </w:tc>
      </w:tr>
      <w:tr w:rsidR="00DC5038" w:rsidRPr="00C65F0D" w:rsidTr="007A684C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038" w:rsidRPr="00FF1CED" w:rsidRDefault="00DC5038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FF1CED" w:rsidRDefault="00DC5038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Итого:</w:t>
            </w:r>
          </w:p>
          <w:p w:rsidR="00DC5038" w:rsidRPr="00FF1CED" w:rsidRDefault="00DC5038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1 085 610,012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274 469,294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188 561,196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181 868,654</w:t>
            </w: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B455CF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672EF" w:rsidRPr="009B3571" w:rsidRDefault="00F672EF" w:rsidP="00F672EF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p w:rsidR="00F672EF" w:rsidRPr="009B3571" w:rsidRDefault="00F672EF" w:rsidP="00F672EF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ВЕРНО:</w:t>
      </w:r>
    </w:p>
    <w:p w:rsidR="00B678A9" w:rsidRDefault="00F672EF" w:rsidP="00F672EF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Председатель Комитета</w:t>
      </w:r>
      <w:r w:rsidRPr="009B3571">
        <w:rPr>
          <w:sz w:val="24"/>
          <w:szCs w:val="24"/>
        </w:rPr>
        <w:tab/>
      </w:r>
      <w:r w:rsidRPr="009B3571">
        <w:rPr>
          <w:sz w:val="24"/>
          <w:szCs w:val="24"/>
        </w:rPr>
        <w:tab/>
      </w:r>
      <w:r w:rsidRPr="009B3571">
        <w:rPr>
          <w:sz w:val="24"/>
          <w:szCs w:val="24"/>
        </w:rPr>
        <w:tab/>
      </w:r>
      <w:r w:rsidRPr="009B3571">
        <w:rPr>
          <w:sz w:val="24"/>
          <w:szCs w:val="24"/>
        </w:rPr>
        <w:tab/>
      </w:r>
      <w:r w:rsidRPr="009B3571">
        <w:rPr>
          <w:sz w:val="24"/>
          <w:szCs w:val="24"/>
        </w:rPr>
        <w:tab/>
      </w:r>
      <w:r w:rsidR="004A3634">
        <w:rPr>
          <w:sz w:val="24"/>
          <w:szCs w:val="24"/>
        </w:rPr>
        <w:t xml:space="preserve">                                                                                                       </w:t>
      </w:r>
      <w:r w:rsidR="00397179">
        <w:rPr>
          <w:sz w:val="24"/>
          <w:szCs w:val="24"/>
        </w:rPr>
        <w:t xml:space="preserve">           </w:t>
      </w:r>
      <w:r w:rsidR="004A3634">
        <w:rPr>
          <w:sz w:val="24"/>
          <w:szCs w:val="24"/>
        </w:rPr>
        <w:t xml:space="preserve"> </w:t>
      </w:r>
      <w:r w:rsidR="00397179">
        <w:rPr>
          <w:sz w:val="24"/>
          <w:szCs w:val="24"/>
        </w:rPr>
        <w:t xml:space="preserve"> С.А.Уваров</w:t>
      </w:r>
    </w:p>
    <w:sectPr w:rsidR="00B678A9" w:rsidSect="000D155A">
      <w:type w:val="continuous"/>
      <w:pgSz w:w="16838" w:h="11906" w:orient="landscape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C3C" w:rsidRDefault="000E3C3C">
      <w:r>
        <w:separator/>
      </w:r>
    </w:p>
  </w:endnote>
  <w:endnote w:type="continuationSeparator" w:id="0">
    <w:p w:rsidR="000E3C3C" w:rsidRDefault="000E3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AA" w:rsidRDefault="00A96C08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00A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00AA">
      <w:rPr>
        <w:rStyle w:val="a6"/>
        <w:noProof/>
      </w:rPr>
      <w:t>2</w:t>
    </w:r>
    <w:r>
      <w:rPr>
        <w:rStyle w:val="a6"/>
      </w:rPr>
      <w:fldChar w:fldCharType="end"/>
    </w:r>
  </w:p>
  <w:p w:rsidR="00C300AA" w:rsidRDefault="00C300AA" w:rsidP="00E93D7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AA" w:rsidRDefault="00C300AA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C3C" w:rsidRDefault="000E3C3C">
      <w:r>
        <w:separator/>
      </w:r>
    </w:p>
  </w:footnote>
  <w:footnote w:type="continuationSeparator" w:id="0">
    <w:p w:rsidR="000E3C3C" w:rsidRDefault="000E3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AA" w:rsidRDefault="00A96C08">
    <w:pPr>
      <w:pStyle w:val="a9"/>
      <w:jc w:val="center"/>
    </w:pPr>
    <w:r>
      <w:rPr>
        <w:noProof/>
      </w:rPr>
      <w:fldChar w:fldCharType="begin"/>
    </w:r>
    <w:r w:rsidR="00C300AA">
      <w:rPr>
        <w:noProof/>
      </w:rPr>
      <w:instrText xml:space="preserve"> PAGE   \* MERGEFORMAT </w:instrText>
    </w:r>
    <w:r>
      <w:rPr>
        <w:noProof/>
      </w:rPr>
      <w:fldChar w:fldCharType="separate"/>
    </w:r>
    <w:r w:rsidR="009515C9">
      <w:rPr>
        <w:noProof/>
      </w:rPr>
      <w:t>3</w:t>
    </w:r>
    <w:r>
      <w:rPr>
        <w:noProof/>
      </w:rPr>
      <w:fldChar w:fldCharType="end"/>
    </w:r>
  </w:p>
  <w:p w:rsidR="00C300AA" w:rsidRDefault="00C300A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9D05C2"/>
    <w:multiLevelType w:val="multilevel"/>
    <w:tmpl w:val="0164C816"/>
    <w:name w:val="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819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D12D7"/>
    <w:rsid w:val="0000020E"/>
    <w:rsid w:val="0000271E"/>
    <w:rsid w:val="00002D75"/>
    <w:rsid w:val="000037E1"/>
    <w:rsid w:val="00005053"/>
    <w:rsid w:val="00005F0F"/>
    <w:rsid w:val="00006EF0"/>
    <w:rsid w:val="00011701"/>
    <w:rsid w:val="00012C52"/>
    <w:rsid w:val="00014CA8"/>
    <w:rsid w:val="000166CF"/>
    <w:rsid w:val="0002054F"/>
    <w:rsid w:val="00021ADC"/>
    <w:rsid w:val="00021C67"/>
    <w:rsid w:val="00022365"/>
    <w:rsid w:val="0002335D"/>
    <w:rsid w:val="00023BA5"/>
    <w:rsid w:val="000247E3"/>
    <w:rsid w:val="0002514E"/>
    <w:rsid w:val="0003018E"/>
    <w:rsid w:val="00030C05"/>
    <w:rsid w:val="00034E0C"/>
    <w:rsid w:val="00035B9E"/>
    <w:rsid w:val="00035BE4"/>
    <w:rsid w:val="00037F3F"/>
    <w:rsid w:val="000408D3"/>
    <w:rsid w:val="00042C55"/>
    <w:rsid w:val="00043A23"/>
    <w:rsid w:val="00043CC0"/>
    <w:rsid w:val="000459BC"/>
    <w:rsid w:val="0004682B"/>
    <w:rsid w:val="00046DBE"/>
    <w:rsid w:val="00051EA2"/>
    <w:rsid w:val="00052987"/>
    <w:rsid w:val="00054AB7"/>
    <w:rsid w:val="0005718B"/>
    <w:rsid w:val="000609CC"/>
    <w:rsid w:val="0006400A"/>
    <w:rsid w:val="00066947"/>
    <w:rsid w:val="0007184C"/>
    <w:rsid w:val="00072F8B"/>
    <w:rsid w:val="00073070"/>
    <w:rsid w:val="000751B6"/>
    <w:rsid w:val="000765B0"/>
    <w:rsid w:val="00077C6D"/>
    <w:rsid w:val="00077F12"/>
    <w:rsid w:val="00081CB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296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7673"/>
    <w:rsid w:val="000D03B5"/>
    <w:rsid w:val="000D06D8"/>
    <w:rsid w:val="000D155A"/>
    <w:rsid w:val="000D231B"/>
    <w:rsid w:val="000D4E91"/>
    <w:rsid w:val="000D7980"/>
    <w:rsid w:val="000E0100"/>
    <w:rsid w:val="000E2C8F"/>
    <w:rsid w:val="000E31F1"/>
    <w:rsid w:val="000E3C3C"/>
    <w:rsid w:val="000E54D2"/>
    <w:rsid w:val="000E684E"/>
    <w:rsid w:val="000E7085"/>
    <w:rsid w:val="000E771A"/>
    <w:rsid w:val="000E7733"/>
    <w:rsid w:val="000F3CCF"/>
    <w:rsid w:val="000F5C36"/>
    <w:rsid w:val="000F7A68"/>
    <w:rsid w:val="001000D3"/>
    <w:rsid w:val="00100788"/>
    <w:rsid w:val="001042ED"/>
    <w:rsid w:val="00104317"/>
    <w:rsid w:val="00104814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1E7"/>
    <w:rsid w:val="00120F8E"/>
    <w:rsid w:val="0012157E"/>
    <w:rsid w:val="00122597"/>
    <w:rsid w:val="001237C9"/>
    <w:rsid w:val="001245F7"/>
    <w:rsid w:val="00124AA8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3F0E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6774E"/>
    <w:rsid w:val="0017298F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6490"/>
    <w:rsid w:val="001971FE"/>
    <w:rsid w:val="00197D0A"/>
    <w:rsid w:val="001A0967"/>
    <w:rsid w:val="001A1128"/>
    <w:rsid w:val="001A1E1A"/>
    <w:rsid w:val="001A20F8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C6FD7"/>
    <w:rsid w:val="001D0DBB"/>
    <w:rsid w:val="001D1DDA"/>
    <w:rsid w:val="001D2611"/>
    <w:rsid w:val="001D266D"/>
    <w:rsid w:val="001D53A2"/>
    <w:rsid w:val="001D76DD"/>
    <w:rsid w:val="001E1629"/>
    <w:rsid w:val="001E23BF"/>
    <w:rsid w:val="001E30E6"/>
    <w:rsid w:val="001E48ED"/>
    <w:rsid w:val="001E4C2F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15E"/>
    <w:rsid w:val="00212487"/>
    <w:rsid w:val="00213396"/>
    <w:rsid w:val="00213E96"/>
    <w:rsid w:val="002167DB"/>
    <w:rsid w:val="0022364E"/>
    <w:rsid w:val="002265F8"/>
    <w:rsid w:val="00227DD0"/>
    <w:rsid w:val="00230FDE"/>
    <w:rsid w:val="00231E12"/>
    <w:rsid w:val="00233254"/>
    <w:rsid w:val="002336BC"/>
    <w:rsid w:val="00240CCE"/>
    <w:rsid w:val="00241119"/>
    <w:rsid w:val="002411B2"/>
    <w:rsid w:val="002420D8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66D07"/>
    <w:rsid w:val="002712A8"/>
    <w:rsid w:val="00271ED8"/>
    <w:rsid w:val="00272B95"/>
    <w:rsid w:val="00272C1B"/>
    <w:rsid w:val="0027516E"/>
    <w:rsid w:val="00275C45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B6D57"/>
    <w:rsid w:val="002C26A5"/>
    <w:rsid w:val="002C5518"/>
    <w:rsid w:val="002C5638"/>
    <w:rsid w:val="002C5AC0"/>
    <w:rsid w:val="002D12D7"/>
    <w:rsid w:val="002D2023"/>
    <w:rsid w:val="002D262F"/>
    <w:rsid w:val="002D3845"/>
    <w:rsid w:val="002D42F7"/>
    <w:rsid w:val="002D4C2D"/>
    <w:rsid w:val="002E2EE5"/>
    <w:rsid w:val="002E316B"/>
    <w:rsid w:val="002E35F6"/>
    <w:rsid w:val="002E383C"/>
    <w:rsid w:val="002E4A68"/>
    <w:rsid w:val="002F0279"/>
    <w:rsid w:val="002F0CA4"/>
    <w:rsid w:val="002F17AA"/>
    <w:rsid w:val="002F24C8"/>
    <w:rsid w:val="002F2DDA"/>
    <w:rsid w:val="002F3CF1"/>
    <w:rsid w:val="002F5F6C"/>
    <w:rsid w:val="003026F8"/>
    <w:rsid w:val="00302712"/>
    <w:rsid w:val="003029AE"/>
    <w:rsid w:val="00303019"/>
    <w:rsid w:val="0030407F"/>
    <w:rsid w:val="00305AC2"/>
    <w:rsid w:val="00306A2F"/>
    <w:rsid w:val="00313406"/>
    <w:rsid w:val="00314F0B"/>
    <w:rsid w:val="00316710"/>
    <w:rsid w:val="003179BD"/>
    <w:rsid w:val="00317AD0"/>
    <w:rsid w:val="0032181A"/>
    <w:rsid w:val="00321AE0"/>
    <w:rsid w:val="0032258F"/>
    <w:rsid w:val="00324559"/>
    <w:rsid w:val="003250B1"/>
    <w:rsid w:val="00327081"/>
    <w:rsid w:val="00327E70"/>
    <w:rsid w:val="003314AB"/>
    <w:rsid w:val="00333343"/>
    <w:rsid w:val="00334042"/>
    <w:rsid w:val="003341DE"/>
    <w:rsid w:val="00334987"/>
    <w:rsid w:val="00334A69"/>
    <w:rsid w:val="00336EA4"/>
    <w:rsid w:val="00341A2C"/>
    <w:rsid w:val="00341D6E"/>
    <w:rsid w:val="00343D4B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1FE4"/>
    <w:rsid w:val="00392A03"/>
    <w:rsid w:val="00394776"/>
    <w:rsid w:val="003955D1"/>
    <w:rsid w:val="00396221"/>
    <w:rsid w:val="00397179"/>
    <w:rsid w:val="003A0B4C"/>
    <w:rsid w:val="003A0BA9"/>
    <w:rsid w:val="003A1549"/>
    <w:rsid w:val="003A21AC"/>
    <w:rsid w:val="003A23D9"/>
    <w:rsid w:val="003A386F"/>
    <w:rsid w:val="003A3A02"/>
    <w:rsid w:val="003A6B02"/>
    <w:rsid w:val="003A6BFA"/>
    <w:rsid w:val="003B2112"/>
    <w:rsid w:val="003B2154"/>
    <w:rsid w:val="003B55B0"/>
    <w:rsid w:val="003B658F"/>
    <w:rsid w:val="003B7103"/>
    <w:rsid w:val="003B73CD"/>
    <w:rsid w:val="003B7AC6"/>
    <w:rsid w:val="003B7F83"/>
    <w:rsid w:val="003D1D33"/>
    <w:rsid w:val="003D4211"/>
    <w:rsid w:val="003D75E8"/>
    <w:rsid w:val="003D7D5E"/>
    <w:rsid w:val="003E017C"/>
    <w:rsid w:val="003E0EB2"/>
    <w:rsid w:val="003E11C8"/>
    <w:rsid w:val="003E1745"/>
    <w:rsid w:val="003E4ECD"/>
    <w:rsid w:val="003F01C3"/>
    <w:rsid w:val="003F1375"/>
    <w:rsid w:val="003F2784"/>
    <w:rsid w:val="003F39C5"/>
    <w:rsid w:val="00401859"/>
    <w:rsid w:val="00402DF9"/>
    <w:rsid w:val="004045C4"/>
    <w:rsid w:val="00407DBC"/>
    <w:rsid w:val="0041239D"/>
    <w:rsid w:val="004126DD"/>
    <w:rsid w:val="004168C6"/>
    <w:rsid w:val="00421C9A"/>
    <w:rsid w:val="00421CB3"/>
    <w:rsid w:val="00422C57"/>
    <w:rsid w:val="00422CF6"/>
    <w:rsid w:val="004234A2"/>
    <w:rsid w:val="00424DCB"/>
    <w:rsid w:val="00424E91"/>
    <w:rsid w:val="004252EA"/>
    <w:rsid w:val="0042542F"/>
    <w:rsid w:val="00425654"/>
    <w:rsid w:val="00425B2F"/>
    <w:rsid w:val="00426A6E"/>
    <w:rsid w:val="00426D6A"/>
    <w:rsid w:val="00430722"/>
    <w:rsid w:val="00431DC4"/>
    <w:rsid w:val="0043303C"/>
    <w:rsid w:val="004338BF"/>
    <w:rsid w:val="0043738C"/>
    <w:rsid w:val="00440BA3"/>
    <w:rsid w:val="0044162E"/>
    <w:rsid w:val="004468C0"/>
    <w:rsid w:val="004479DE"/>
    <w:rsid w:val="00447AE0"/>
    <w:rsid w:val="00450854"/>
    <w:rsid w:val="00450D38"/>
    <w:rsid w:val="00452750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4E5"/>
    <w:rsid w:val="00484567"/>
    <w:rsid w:val="00484D6A"/>
    <w:rsid w:val="004867B8"/>
    <w:rsid w:val="004875D7"/>
    <w:rsid w:val="00487D42"/>
    <w:rsid w:val="004912E2"/>
    <w:rsid w:val="00491728"/>
    <w:rsid w:val="0049437E"/>
    <w:rsid w:val="004968B1"/>
    <w:rsid w:val="004A128A"/>
    <w:rsid w:val="004A24EB"/>
    <w:rsid w:val="004A3634"/>
    <w:rsid w:val="004A3C06"/>
    <w:rsid w:val="004A3C59"/>
    <w:rsid w:val="004A4ED9"/>
    <w:rsid w:val="004A622F"/>
    <w:rsid w:val="004B0295"/>
    <w:rsid w:val="004B10AC"/>
    <w:rsid w:val="004B1B40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D7CCB"/>
    <w:rsid w:val="004E12F9"/>
    <w:rsid w:val="004E39E7"/>
    <w:rsid w:val="004E3AA0"/>
    <w:rsid w:val="004E59B8"/>
    <w:rsid w:val="004F20EE"/>
    <w:rsid w:val="004F2ADD"/>
    <w:rsid w:val="004F3872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407"/>
    <w:rsid w:val="0050662C"/>
    <w:rsid w:val="0050743C"/>
    <w:rsid w:val="00510C73"/>
    <w:rsid w:val="00511AD5"/>
    <w:rsid w:val="0051392F"/>
    <w:rsid w:val="00513AC2"/>
    <w:rsid w:val="00513DB7"/>
    <w:rsid w:val="00514911"/>
    <w:rsid w:val="00515126"/>
    <w:rsid w:val="0052091B"/>
    <w:rsid w:val="0052125F"/>
    <w:rsid w:val="00523F60"/>
    <w:rsid w:val="00524668"/>
    <w:rsid w:val="005248D8"/>
    <w:rsid w:val="0052653C"/>
    <w:rsid w:val="00526AAB"/>
    <w:rsid w:val="00527A75"/>
    <w:rsid w:val="005307AE"/>
    <w:rsid w:val="0053105E"/>
    <w:rsid w:val="0053136F"/>
    <w:rsid w:val="005327E1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D7C"/>
    <w:rsid w:val="00551EFC"/>
    <w:rsid w:val="00552F57"/>
    <w:rsid w:val="0055365D"/>
    <w:rsid w:val="00555CE2"/>
    <w:rsid w:val="00556866"/>
    <w:rsid w:val="005577EB"/>
    <w:rsid w:val="00560411"/>
    <w:rsid w:val="00561749"/>
    <w:rsid w:val="00562402"/>
    <w:rsid w:val="00564E65"/>
    <w:rsid w:val="00565831"/>
    <w:rsid w:val="00566A8B"/>
    <w:rsid w:val="00566C44"/>
    <w:rsid w:val="005675F9"/>
    <w:rsid w:val="0057192A"/>
    <w:rsid w:val="005736F6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B7DF5"/>
    <w:rsid w:val="005C0622"/>
    <w:rsid w:val="005C17C7"/>
    <w:rsid w:val="005C519A"/>
    <w:rsid w:val="005C5797"/>
    <w:rsid w:val="005D22D3"/>
    <w:rsid w:val="005E0094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56E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48CB"/>
    <w:rsid w:val="006176EC"/>
    <w:rsid w:val="00617FD6"/>
    <w:rsid w:val="0062033D"/>
    <w:rsid w:val="006204CD"/>
    <w:rsid w:val="00621168"/>
    <w:rsid w:val="00623E9A"/>
    <w:rsid w:val="006243DD"/>
    <w:rsid w:val="00627B71"/>
    <w:rsid w:val="006304DC"/>
    <w:rsid w:val="0063307F"/>
    <w:rsid w:val="0063321E"/>
    <w:rsid w:val="0063413D"/>
    <w:rsid w:val="0063433D"/>
    <w:rsid w:val="006345BD"/>
    <w:rsid w:val="006353C7"/>
    <w:rsid w:val="00635537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46A9"/>
    <w:rsid w:val="00655193"/>
    <w:rsid w:val="006564A5"/>
    <w:rsid w:val="00657011"/>
    <w:rsid w:val="006574F2"/>
    <w:rsid w:val="006575F6"/>
    <w:rsid w:val="00657C7A"/>
    <w:rsid w:val="006607A2"/>
    <w:rsid w:val="00662FA3"/>
    <w:rsid w:val="00664AD8"/>
    <w:rsid w:val="00667922"/>
    <w:rsid w:val="006706D1"/>
    <w:rsid w:val="006709E9"/>
    <w:rsid w:val="006716B3"/>
    <w:rsid w:val="00671DEB"/>
    <w:rsid w:val="00676F75"/>
    <w:rsid w:val="0068009E"/>
    <w:rsid w:val="00680842"/>
    <w:rsid w:val="006822D3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6865"/>
    <w:rsid w:val="006A7287"/>
    <w:rsid w:val="006B0B08"/>
    <w:rsid w:val="006B2D99"/>
    <w:rsid w:val="006B3011"/>
    <w:rsid w:val="006B3993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88B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7BDB"/>
    <w:rsid w:val="007123F8"/>
    <w:rsid w:val="00713F0D"/>
    <w:rsid w:val="00714328"/>
    <w:rsid w:val="00716171"/>
    <w:rsid w:val="00720C61"/>
    <w:rsid w:val="007214FA"/>
    <w:rsid w:val="00721511"/>
    <w:rsid w:val="00723A42"/>
    <w:rsid w:val="00723C9D"/>
    <w:rsid w:val="00723FB1"/>
    <w:rsid w:val="0072495E"/>
    <w:rsid w:val="0072693A"/>
    <w:rsid w:val="00732F18"/>
    <w:rsid w:val="00734C95"/>
    <w:rsid w:val="00735DEC"/>
    <w:rsid w:val="00736F5A"/>
    <w:rsid w:val="00736FE5"/>
    <w:rsid w:val="0074113D"/>
    <w:rsid w:val="007412A6"/>
    <w:rsid w:val="007414A0"/>
    <w:rsid w:val="007417D6"/>
    <w:rsid w:val="007442C4"/>
    <w:rsid w:val="007450F2"/>
    <w:rsid w:val="00747EAF"/>
    <w:rsid w:val="00747FA6"/>
    <w:rsid w:val="007518C3"/>
    <w:rsid w:val="00751ECF"/>
    <w:rsid w:val="00753EC4"/>
    <w:rsid w:val="007573CA"/>
    <w:rsid w:val="0075779E"/>
    <w:rsid w:val="007578FB"/>
    <w:rsid w:val="00761718"/>
    <w:rsid w:val="00761A0A"/>
    <w:rsid w:val="00761E34"/>
    <w:rsid w:val="00762E09"/>
    <w:rsid w:val="007642F1"/>
    <w:rsid w:val="0077173F"/>
    <w:rsid w:val="00772206"/>
    <w:rsid w:val="00776DDB"/>
    <w:rsid w:val="00776E0D"/>
    <w:rsid w:val="007800F6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782B"/>
    <w:rsid w:val="007A0586"/>
    <w:rsid w:val="007A2401"/>
    <w:rsid w:val="007A33BF"/>
    <w:rsid w:val="007A507F"/>
    <w:rsid w:val="007A684C"/>
    <w:rsid w:val="007A6890"/>
    <w:rsid w:val="007A6D5D"/>
    <w:rsid w:val="007A7849"/>
    <w:rsid w:val="007B0094"/>
    <w:rsid w:val="007B21AC"/>
    <w:rsid w:val="007B60B7"/>
    <w:rsid w:val="007B6668"/>
    <w:rsid w:val="007C0CD0"/>
    <w:rsid w:val="007C1F80"/>
    <w:rsid w:val="007C3062"/>
    <w:rsid w:val="007C3CE9"/>
    <w:rsid w:val="007C4BD1"/>
    <w:rsid w:val="007C5E8D"/>
    <w:rsid w:val="007C672E"/>
    <w:rsid w:val="007C72A9"/>
    <w:rsid w:val="007D12E5"/>
    <w:rsid w:val="007D6CD9"/>
    <w:rsid w:val="007E2F31"/>
    <w:rsid w:val="007E3C5B"/>
    <w:rsid w:val="007E444A"/>
    <w:rsid w:val="007E4CA5"/>
    <w:rsid w:val="007F022E"/>
    <w:rsid w:val="007F04D1"/>
    <w:rsid w:val="007F0A3E"/>
    <w:rsid w:val="007F257F"/>
    <w:rsid w:val="007F268C"/>
    <w:rsid w:val="007F3797"/>
    <w:rsid w:val="007F3FF4"/>
    <w:rsid w:val="007F4C4A"/>
    <w:rsid w:val="007F514B"/>
    <w:rsid w:val="008004F7"/>
    <w:rsid w:val="00800E2F"/>
    <w:rsid w:val="00801C79"/>
    <w:rsid w:val="00801FA2"/>
    <w:rsid w:val="00802FE7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80A"/>
    <w:rsid w:val="00817E01"/>
    <w:rsid w:val="00823CE3"/>
    <w:rsid w:val="008265EE"/>
    <w:rsid w:val="008269A3"/>
    <w:rsid w:val="0082767A"/>
    <w:rsid w:val="0083052E"/>
    <w:rsid w:val="00830BB7"/>
    <w:rsid w:val="008314D0"/>
    <w:rsid w:val="00835476"/>
    <w:rsid w:val="00841754"/>
    <w:rsid w:val="00841E29"/>
    <w:rsid w:val="008431B8"/>
    <w:rsid w:val="00843569"/>
    <w:rsid w:val="008445F5"/>
    <w:rsid w:val="008455C6"/>
    <w:rsid w:val="00846E1B"/>
    <w:rsid w:val="00851B73"/>
    <w:rsid w:val="0085308B"/>
    <w:rsid w:val="008549ED"/>
    <w:rsid w:val="00855024"/>
    <w:rsid w:val="00857E2E"/>
    <w:rsid w:val="00860BC8"/>
    <w:rsid w:val="00862B86"/>
    <w:rsid w:val="008635D7"/>
    <w:rsid w:val="00863B95"/>
    <w:rsid w:val="00864101"/>
    <w:rsid w:val="00866B1A"/>
    <w:rsid w:val="00867986"/>
    <w:rsid w:val="00867E82"/>
    <w:rsid w:val="008706EF"/>
    <w:rsid w:val="008711FD"/>
    <w:rsid w:val="00871983"/>
    <w:rsid w:val="0087224A"/>
    <w:rsid w:val="0087262F"/>
    <w:rsid w:val="008741FC"/>
    <w:rsid w:val="008757EE"/>
    <w:rsid w:val="0087632E"/>
    <w:rsid w:val="008770FE"/>
    <w:rsid w:val="008778F2"/>
    <w:rsid w:val="00880377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0E5C"/>
    <w:rsid w:val="00901098"/>
    <w:rsid w:val="00901312"/>
    <w:rsid w:val="00901605"/>
    <w:rsid w:val="00901C6C"/>
    <w:rsid w:val="009026F8"/>
    <w:rsid w:val="00905A22"/>
    <w:rsid w:val="00905EF5"/>
    <w:rsid w:val="00906ACD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4BA2"/>
    <w:rsid w:val="00935A13"/>
    <w:rsid w:val="009366B1"/>
    <w:rsid w:val="00936E4B"/>
    <w:rsid w:val="00937D9C"/>
    <w:rsid w:val="00941480"/>
    <w:rsid w:val="00941CFE"/>
    <w:rsid w:val="00942E26"/>
    <w:rsid w:val="0094327C"/>
    <w:rsid w:val="00943333"/>
    <w:rsid w:val="00943B63"/>
    <w:rsid w:val="009455F4"/>
    <w:rsid w:val="00946DF7"/>
    <w:rsid w:val="009512C8"/>
    <w:rsid w:val="009515C9"/>
    <w:rsid w:val="00953639"/>
    <w:rsid w:val="0095563A"/>
    <w:rsid w:val="00956A08"/>
    <w:rsid w:val="00962437"/>
    <w:rsid w:val="00965B8F"/>
    <w:rsid w:val="0096671A"/>
    <w:rsid w:val="00966E2E"/>
    <w:rsid w:val="0097041D"/>
    <w:rsid w:val="009744E1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A38"/>
    <w:rsid w:val="00990DF3"/>
    <w:rsid w:val="00993456"/>
    <w:rsid w:val="00993C85"/>
    <w:rsid w:val="00993F4F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B6B54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9F6C90"/>
    <w:rsid w:val="00A00400"/>
    <w:rsid w:val="00A044D4"/>
    <w:rsid w:val="00A048F2"/>
    <w:rsid w:val="00A06BF7"/>
    <w:rsid w:val="00A07F83"/>
    <w:rsid w:val="00A10201"/>
    <w:rsid w:val="00A10FA1"/>
    <w:rsid w:val="00A12160"/>
    <w:rsid w:val="00A12976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5C06"/>
    <w:rsid w:val="00A2726A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3D71"/>
    <w:rsid w:val="00A45AC3"/>
    <w:rsid w:val="00A50047"/>
    <w:rsid w:val="00A52A58"/>
    <w:rsid w:val="00A53006"/>
    <w:rsid w:val="00A54AE5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615F"/>
    <w:rsid w:val="00A96C08"/>
    <w:rsid w:val="00A971A6"/>
    <w:rsid w:val="00AA0B0E"/>
    <w:rsid w:val="00AA264B"/>
    <w:rsid w:val="00AA2BB0"/>
    <w:rsid w:val="00AA34B0"/>
    <w:rsid w:val="00AA4034"/>
    <w:rsid w:val="00AA47BD"/>
    <w:rsid w:val="00AA58CF"/>
    <w:rsid w:val="00AA6598"/>
    <w:rsid w:val="00AB206A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40A1"/>
    <w:rsid w:val="00AC47DC"/>
    <w:rsid w:val="00AC5EA9"/>
    <w:rsid w:val="00AC6230"/>
    <w:rsid w:val="00AD0CFE"/>
    <w:rsid w:val="00AD1427"/>
    <w:rsid w:val="00AD2D90"/>
    <w:rsid w:val="00AD3623"/>
    <w:rsid w:val="00AD57E3"/>
    <w:rsid w:val="00AE08FB"/>
    <w:rsid w:val="00AE14F2"/>
    <w:rsid w:val="00AE26E5"/>
    <w:rsid w:val="00AE42CA"/>
    <w:rsid w:val="00AE5BF9"/>
    <w:rsid w:val="00AE7FC4"/>
    <w:rsid w:val="00AF0CDD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5509"/>
    <w:rsid w:val="00B0679C"/>
    <w:rsid w:val="00B06937"/>
    <w:rsid w:val="00B06DD0"/>
    <w:rsid w:val="00B10585"/>
    <w:rsid w:val="00B11C68"/>
    <w:rsid w:val="00B14F74"/>
    <w:rsid w:val="00B1509F"/>
    <w:rsid w:val="00B156C9"/>
    <w:rsid w:val="00B17994"/>
    <w:rsid w:val="00B17F25"/>
    <w:rsid w:val="00B24455"/>
    <w:rsid w:val="00B245A8"/>
    <w:rsid w:val="00B24B14"/>
    <w:rsid w:val="00B25B7E"/>
    <w:rsid w:val="00B26820"/>
    <w:rsid w:val="00B274E6"/>
    <w:rsid w:val="00B30355"/>
    <w:rsid w:val="00B31448"/>
    <w:rsid w:val="00B31860"/>
    <w:rsid w:val="00B3202D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55CF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143B"/>
    <w:rsid w:val="00B63663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48F0"/>
    <w:rsid w:val="00B74A78"/>
    <w:rsid w:val="00B75B5E"/>
    <w:rsid w:val="00B75BA7"/>
    <w:rsid w:val="00B7609E"/>
    <w:rsid w:val="00B77FF5"/>
    <w:rsid w:val="00B8020C"/>
    <w:rsid w:val="00B809F9"/>
    <w:rsid w:val="00B80CA1"/>
    <w:rsid w:val="00B82477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277D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C7306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BF6F5F"/>
    <w:rsid w:val="00C009EB"/>
    <w:rsid w:val="00C00FA5"/>
    <w:rsid w:val="00C049B9"/>
    <w:rsid w:val="00C05450"/>
    <w:rsid w:val="00C06529"/>
    <w:rsid w:val="00C06A5F"/>
    <w:rsid w:val="00C109DD"/>
    <w:rsid w:val="00C10A5E"/>
    <w:rsid w:val="00C11210"/>
    <w:rsid w:val="00C1157B"/>
    <w:rsid w:val="00C11F00"/>
    <w:rsid w:val="00C139AE"/>
    <w:rsid w:val="00C14EB1"/>
    <w:rsid w:val="00C16093"/>
    <w:rsid w:val="00C16506"/>
    <w:rsid w:val="00C20CE2"/>
    <w:rsid w:val="00C21BBF"/>
    <w:rsid w:val="00C230E6"/>
    <w:rsid w:val="00C26D40"/>
    <w:rsid w:val="00C30094"/>
    <w:rsid w:val="00C300AA"/>
    <w:rsid w:val="00C301F3"/>
    <w:rsid w:val="00C326A6"/>
    <w:rsid w:val="00C33150"/>
    <w:rsid w:val="00C33DF1"/>
    <w:rsid w:val="00C36936"/>
    <w:rsid w:val="00C45DDC"/>
    <w:rsid w:val="00C471A7"/>
    <w:rsid w:val="00C47EB3"/>
    <w:rsid w:val="00C50B3C"/>
    <w:rsid w:val="00C50C31"/>
    <w:rsid w:val="00C52A23"/>
    <w:rsid w:val="00C53F51"/>
    <w:rsid w:val="00C57D73"/>
    <w:rsid w:val="00C6223B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75C2E"/>
    <w:rsid w:val="00C75C92"/>
    <w:rsid w:val="00C8074B"/>
    <w:rsid w:val="00C82C2E"/>
    <w:rsid w:val="00C840ED"/>
    <w:rsid w:val="00C850E5"/>
    <w:rsid w:val="00C85CEB"/>
    <w:rsid w:val="00C85CEF"/>
    <w:rsid w:val="00C90739"/>
    <w:rsid w:val="00C92FBC"/>
    <w:rsid w:val="00C9409F"/>
    <w:rsid w:val="00C946B4"/>
    <w:rsid w:val="00C94A4F"/>
    <w:rsid w:val="00C958BB"/>
    <w:rsid w:val="00C96D19"/>
    <w:rsid w:val="00C96F3E"/>
    <w:rsid w:val="00C96FF3"/>
    <w:rsid w:val="00C97BEF"/>
    <w:rsid w:val="00CA2BE6"/>
    <w:rsid w:val="00CA40C8"/>
    <w:rsid w:val="00CA5D02"/>
    <w:rsid w:val="00CB2B9B"/>
    <w:rsid w:val="00CB3750"/>
    <w:rsid w:val="00CB41EF"/>
    <w:rsid w:val="00CB4639"/>
    <w:rsid w:val="00CB4838"/>
    <w:rsid w:val="00CB5A98"/>
    <w:rsid w:val="00CB6468"/>
    <w:rsid w:val="00CC0A65"/>
    <w:rsid w:val="00CC17B7"/>
    <w:rsid w:val="00CC2D8A"/>
    <w:rsid w:val="00CC31C6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0F78"/>
    <w:rsid w:val="00CE429A"/>
    <w:rsid w:val="00CE4B29"/>
    <w:rsid w:val="00CE5051"/>
    <w:rsid w:val="00CE5711"/>
    <w:rsid w:val="00CE57D6"/>
    <w:rsid w:val="00CE7EE8"/>
    <w:rsid w:val="00CF1156"/>
    <w:rsid w:val="00CF1550"/>
    <w:rsid w:val="00CF2FEC"/>
    <w:rsid w:val="00CF31F9"/>
    <w:rsid w:val="00CF414A"/>
    <w:rsid w:val="00CF4A0B"/>
    <w:rsid w:val="00CF5128"/>
    <w:rsid w:val="00CF6476"/>
    <w:rsid w:val="00CF656C"/>
    <w:rsid w:val="00CF751B"/>
    <w:rsid w:val="00D0068F"/>
    <w:rsid w:val="00D01062"/>
    <w:rsid w:val="00D01224"/>
    <w:rsid w:val="00D0213B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776"/>
    <w:rsid w:val="00D12974"/>
    <w:rsid w:val="00D13636"/>
    <w:rsid w:val="00D13C59"/>
    <w:rsid w:val="00D14537"/>
    <w:rsid w:val="00D1464C"/>
    <w:rsid w:val="00D14A61"/>
    <w:rsid w:val="00D1775C"/>
    <w:rsid w:val="00D24002"/>
    <w:rsid w:val="00D2424A"/>
    <w:rsid w:val="00D252D8"/>
    <w:rsid w:val="00D26D8A"/>
    <w:rsid w:val="00D27B2D"/>
    <w:rsid w:val="00D305AF"/>
    <w:rsid w:val="00D312C0"/>
    <w:rsid w:val="00D315E1"/>
    <w:rsid w:val="00D31928"/>
    <w:rsid w:val="00D32C7D"/>
    <w:rsid w:val="00D33523"/>
    <w:rsid w:val="00D34AA5"/>
    <w:rsid w:val="00D35D14"/>
    <w:rsid w:val="00D35F80"/>
    <w:rsid w:val="00D374A3"/>
    <w:rsid w:val="00D43752"/>
    <w:rsid w:val="00D44674"/>
    <w:rsid w:val="00D45042"/>
    <w:rsid w:val="00D45D3C"/>
    <w:rsid w:val="00D46106"/>
    <w:rsid w:val="00D465A4"/>
    <w:rsid w:val="00D50B0F"/>
    <w:rsid w:val="00D50D90"/>
    <w:rsid w:val="00D519AE"/>
    <w:rsid w:val="00D51C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67C6D"/>
    <w:rsid w:val="00D7135D"/>
    <w:rsid w:val="00D717A0"/>
    <w:rsid w:val="00D7277C"/>
    <w:rsid w:val="00D73532"/>
    <w:rsid w:val="00D757AC"/>
    <w:rsid w:val="00D77AF9"/>
    <w:rsid w:val="00D77FA9"/>
    <w:rsid w:val="00D8100C"/>
    <w:rsid w:val="00D836C5"/>
    <w:rsid w:val="00D83D7F"/>
    <w:rsid w:val="00D84347"/>
    <w:rsid w:val="00D85045"/>
    <w:rsid w:val="00D85379"/>
    <w:rsid w:val="00D85406"/>
    <w:rsid w:val="00D86AF0"/>
    <w:rsid w:val="00D90E90"/>
    <w:rsid w:val="00D914C4"/>
    <w:rsid w:val="00D927CC"/>
    <w:rsid w:val="00D93044"/>
    <w:rsid w:val="00D931A2"/>
    <w:rsid w:val="00D93497"/>
    <w:rsid w:val="00D93A3D"/>
    <w:rsid w:val="00D94EC5"/>
    <w:rsid w:val="00D95463"/>
    <w:rsid w:val="00D95B9F"/>
    <w:rsid w:val="00D96167"/>
    <w:rsid w:val="00D96C29"/>
    <w:rsid w:val="00DA007F"/>
    <w:rsid w:val="00DA1110"/>
    <w:rsid w:val="00DA2A59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1C82"/>
    <w:rsid w:val="00DC40A1"/>
    <w:rsid w:val="00DC453B"/>
    <w:rsid w:val="00DC5038"/>
    <w:rsid w:val="00DC53ED"/>
    <w:rsid w:val="00DC5743"/>
    <w:rsid w:val="00DC5888"/>
    <w:rsid w:val="00DC73D7"/>
    <w:rsid w:val="00DC7C1F"/>
    <w:rsid w:val="00DD2E99"/>
    <w:rsid w:val="00DD3A1B"/>
    <w:rsid w:val="00DD62F0"/>
    <w:rsid w:val="00DE01CF"/>
    <w:rsid w:val="00DE0BB4"/>
    <w:rsid w:val="00DE0FDB"/>
    <w:rsid w:val="00DE16F5"/>
    <w:rsid w:val="00DE1A7C"/>
    <w:rsid w:val="00DE20EF"/>
    <w:rsid w:val="00DE2633"/>
    <w:rsid w:val="00DE4DB4"/>
    <w:rsid w:val="00DE561C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B88"/>
    <w:rsid w:val="00E130D5"/>
    <w:rsid w:val="00E14394"/>
    <w:rsid w:val="00E14D1A"/>
    <w:rsid w:val="00E16708"/>
    <w:rsid w:val="00E16B2E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21A3"/>
    <w:rsid w:val="00E426C5"/>
    <w:rsid w:val="00E42EF8"/>
    <w:rsid w:val="00E458B7"/>
    <w:rsid w:val="00E45E0C"/>
    <w:rsid w:val="00E46B22"/>
    <w:rsid w:val="00E475B6"/>
    <w:rsid w:val="00E476CB"/>
    <w:rsid w:val="00E5399D"/>
    <w:rsid w:val="00E55715"/>
    <w:rsid w:val="00E57037"/>
    <w:rsid w:val="00E57519"/>
    <w:rsid w:val="00E57829"/>
    <w:rsid w:val="00E60918"/>
    <w:rsid w:val="00E620B4"/>
    <w:rsid w:val="00E624FC"/>
    <w:rsid w:val="00E63B92"/>
    <w:rsid w:val="00E647DE"/>
    <w:rsid w:val="00E65847"/>
    <w:rsid w:val="00E70DFE"/>
    <w:rsid w:val="00E718D7"/>
    <w:rsid w:val="00E722A1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3EC6"/>
    <w:rsid w:val="00E96932"/>
    <w:rsid w:val="00E970B6"/>
    <w:rsid w:val="00E97E5F"/>
    <w:rsid w:val="00EA0D6C"/>
    <w:rsid w:val="00EA2864"/>
    <w:rsid w:val="00EA2D94"/>
    <w:rsid w:val="00EA3B95"/>
    <w:rsid w:val="00EA592E"/>
    <w:rsid w:val="00EA5BF5"/>
    <w:rsid w:val="00EA6F9E"/>
    <w:rsid w:val="00EB150A"/>
    <w:rsid w:val="00EB162F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1079"/>
    <w:rsid w:val="00ED2134"/>
    <w:rsid w:val="00ED2CF5"/>
    <w:rsid w:val="00ED4D4D"/>
    <w:rsid w:val="00ED518D"/>
    <w:rsid w:val="00ED6A7A"/>
    <w:rsid w:val="00ED79D4"/>
    <w:rsid w:val="00ED7B50"/>
    <w:rsid w:val="00EE32BB"/>
    <w:rsid w:val="00EE3D3A"/>
    <w:rsid w:val="00EE5697"/>
    <w:rsid w:val="00EE583C"/>
    <w:rsid w:val="00EF041E"/>
    <w:rsid w:val="00EF0DF5"/>
    <w:rsid w:val="00EF13B2"/>
    <w:rsid w:val="00EF4517"/>
    <w:rsid w:val="00EF4EC8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618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2C19"/>
    <w:rsid w:val="00F33545"/>
    <w:rsid w:val="00F40579"/>
    <w:rsid w:val="00F40F24"/>
    <w:rsid w:val="00F42BE9"/>
    <w:rsid w:val="00F42C53"/>
    <w:rsid w:val="00F446E0"/>
    <w:rsid w:val="00F47628"/>
    <w:rsid w:val="00F47D66"/>
    <w:rsid w:val="00F515E0"/>
    <w:rsid w:val="00F5457C"/>
    <w:rsid w:val="00F54BBD"/>
    <w:rsid w:val="00F54E9C"/>
    <w:rsid w:val="00F57EA7"/>
    <w:rsid w:val="00F60731"/>
    <w:rsid w:val="00F61C06"/>
    <w:rsid w:val="00F61C44"/>
    <w:rsid w:val="00F62418"/>
    <w:rsid w:val="00F638C0"/>
    <w:rsid w:val="00F644BA"/>
    <w:rsid w:val="00F6526A"/>
    <w:rsid w:val="00F6558F"/>
    <w:rsid w:val="00F66385"/>
    <w:rsid w:val="00F6691C"/>
    <w:rsid w:val="00F672EF"/>
    <w:rsid w:val="00F70992"/>
    <w:rsid w:val="00F7233F"/>
    <w:rsid w:val="00F73F42"/>
    <w:rsid w:val="00F74EFF"/>
    <w:rsid w:val="00F818C2"/>
    <w:rsid w:val="00F8194C"/>
    <w:rsid w:val="00F81B1D"/>
    <w:rsid w:val="00F81CF6"/>
    <w:rsid w:val="00F84B97"/>
    <w:rsid w:val="00F85FD2"/>
    <w:rsid w:val="00F86FFD"/>
    <w:rsid w:val="00F90A20"/>
    <w:rsid w:val="00F92B0C"/>
    <w:rsid w:val="00F93AB8"/>
    <w:rsid w:val="00F94ACF"/>
    <w:rsid w:val="00F94C97"/>
    <w:rsid w:val="00F95D57"/>
    <w:rsid w:val="00F95D86"/>
    <w:rsid w:val="00F96D87"/>
    <w:rsid w:val="00F97D19"/>
    <w:rsid w:val="00F97E9F"/>
    <w:rsid w:val="00FA056D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00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424"/>
    <w:rsid w:val="00FE2E78"/>
    <w:rsid w:val="00FE43A3"/>
    <w:rsid w:val="00FE5AB1"/>
    <w:rsid w:val="00FE61DA"/>
    <w:rsid w:val="00FE6209"/>
    <w:rsid w:val="00FF1CED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D95A-6D5D-4734-9B03-586C37C2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6632</Words>
  <Characters>37807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44351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ishutina</cp:lastModifiedBy>
  <cp:revision>2</cp:revision>
  <cp:lastPrinted>2022-06-06T11:14:00Z</cp:lastPrinted>
  <dcterms:created xsi:type="dcterms:W3CDTF">2022-06-14T13:26:00Z</dcterms:created>
  <dcterms:modified xsi:type="dcterms:W3CDTF">2022-06-14T13:26:00Z</dcterms:modified>
</cp:coreProperties>
</file>