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44AB2" w:rsidRDefault="00B22D32" w:rsidP="00544AB2">
      <w:pPr>
        <w:ind w:right="-1"/>
        <w:jc w:val="center"/>
        <w:rPr>
          <w:sz w:val="28"/>
          <w:szCs w:val="28"/>
        </w:rPr>
      </w:pPr>
      <w:r w:rsidRPr="00544AB2">
        <w:rPr>
          <w:noProof/>
          <w:sz w:val="28"/>
          <w:szCs w:val="28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44AB2" w:rsidRDefault="00AC4C04" w:rsidP="00544AB2">
      <w:pPr>
        <w:ind w:right="-1"/>
        <w:jc w:val="center"/>
        <w:rPr>
          <w:sz w:val="28"/>
          <w:szCs w:val="28"/>
        </w:rPr>
      </w:pPr>
    </w:p>
    <w:p w:rsidR="00AC4C04" w:rsidRPr="00544AB2" w:rsidRDefault="00544AB2" w:rsidP="00544AB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544AB2">
        <w:rPr>
          <w:sz w:val="28"/>
          <w:szCs w:val="28"/>
        </w:rPr>
        <w:t>ГОРОДСКОГО ОКРУГА ЭЛЕКТРОСТАЛЬ</w:t>
      </w:r>
    </w:p>
    <w:p w:rsidR="00AC4C04" w:rsidRPr="00544AB2" w:rsidRDefault="00AC4C04" w:rsidP="00544AB2">
      <w:pPr>
        <w:ind w:right="-1"/>
        <w:contextualSpacing/>
        <w:jc w:val="center"/>
        <w:rPr>
          <w:sz w:val="28"/>
          <w:szCs w:val="28"/>
        </w:rPr>
      </w:pPr>
    </w:p>
    <w:p w:rsidR="00AC4C04" w:rsidRPr="00544AB2" w:rsidRDefault="00544AB2" w:rsidP="00544AB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44AB2">
        <w:rPr>
          <w:sz w:val="28"/>
          <w:szCs w:val="28"/>
        </w:rPr>
        <w:t>ОБЛАСТИ</w:t>
      </w:r>
    </w:p>
    <w:p w:rsidR="00AC4C04" w:rsidRPr="00544AB2" w:rsidRDefault="00AC4C04" w:rsidP="00544AB2">
      <w:pPr>
        <w:ind w:right="-1"/>
        <w:contextualSpacing/>
        <w:jc w:val="center"/>
        <w:rPr>
          <w:sz w:val="28"/>
          <w:szCs w:val="28"/>
        </w:rPr>
      </w:pPr>
    </w:p>
    <w:p w:rsidR="00AC4C04" w:rsidRPr="00544AB2" w:rsidRDefault="00A8176C" w:rsidP="00544AB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44AB2">
        <w:rPr>
          <w:sz w:val="44"/>
          <w:szCs w:val="44"/>
        </w:rPr>
        <w:t>ПОСТАНОВЛЕНИ</w:t>
      </w:r>
      <w:r w:rsidR="00AC4C04" w:rsidRPr="00544AB2">
        <w:rPr>
          <w:sz w:val="44"/>
          <w:szCs w:val="44"/>
        </w:rPr>
        <w:t>Е</w:t>
      </w:r>
    </w:p>
    <w:p w:rsidR="00AC4C04" w:rsidRPr="00544AB2" w:rsidRDefault="00AC4C04" w:rsidP="00544AB2">
      <w:pPr>
        <w:ind w:right="-1"/>
        <w:jc w:val="center"/>
        <w:rPr>
          <w:sz w:val="44"/>
          <w:szCs w:val="44"/>
        </w:rPr>
      </w:pPr>
    </w:p>
    <w:p w:rsidR="00AC4C04" w:rsidRDefault="000074F1" w:rsidP="00544AB2">
      <w:pPr>
        <w:ind w:right="-1"/>
        <w:jc w:val="center"/>
        <w:outlineLvl w:val="0"/>
      </w:pPr>
      <w:r w:rsidRPr="00544AB2">
        <w:t>14.12.2022</w:t>
      </w:r>
      <w:r w:rsidR="000C09A6">
        <w:t xml:space="preserve"> № </w:t>
      </w:r>
      <w:r w:rsidRPr="00544AB2">
        <w:t>1480/12</w:t>
      </w:r>
    </w:p>
    <w:p w:rsidR="00935048" w:rsidRDefault="00935048" w:rsidP="00544AB2">
      <w:pPr>
        <w:spacing w:line="240" w:lineRule="exact"/>
        <w:ind w:right="-1"/>
        <w:jc w:val="center"/>
        <w:outlineLvl w:val="0"/>
      </w:pPr>
    </w:p>
    <w:p w:rsidR="009B3584" w:rsidRDefault="009B3584" w:rsidP="00544AB2">
      <w:pPr>
        <w:spacing w:line="240" w:lineRule="exact"/>
        <w:ind w:right="-1"/>
        <w:jc w:val="center"/>
        <w:outlineLvl w:val="0"/>
      </w:pPr>
    </w:p>
    <w:p w:rsidR="00782CC7" w:rsidRPr="00544AB2" w:rsidRDefault="00782CC7" w:rsidP="00544AB2">
      <w:pPr>
        <w:ind w:right="-1"/>
        <w:jc w:val="center"/>
        <w:outlineLvl w:val="0"/>
        <w:rPr>
          <w:rFonts w:cs="Times New Roman"/>
          <w:bCs/>
        </w:rPr>
      </w:pPr>
      <w:r>
        <w:rPr>
          <w:rFonts w:cs="Times New Roman"/>
          <w:bCs/>
        </w:rPr>
        <w:t>Об утверждении муниципальной программы</w:t>
      </w:r>
      <w:r w:rsidR="00544AB2">
        <w:rPr>
          <w:rFonts w:cs="Times New Roman"/>
          <w:bCs/>
        </w:rPr>
        <w:t xml:space="preserve"> </w:t>
      </w:r>
      <w:r>
        <w:rPr>
          <w:rFonts w:cs="Times New Roman"/>
          <w:bCs/>
        </w:rPr>
        <w:t>городского округа Электросталь Московской области</w:t>
      </w:r>
      <w:bookmarkStart w:id="1" w:name="_Hlk119917619"/>
      <w:r w:rsidR="00544AB2">
        <w:rPr>
          <w:rFonts w:cs="Times New Roman"/>
          <w:bCs/>
        </w:rPr>
        <w:t xml:space="preserve"> </w:t>
      </w:r>
      <w:r>
        <w:rPr>
          <w:rFonts w:cs="Times New Roman"/>
          <w:bCs/>
        </w:rPr>
        <w:t>«</w:t>
      </w:r>
      <w:r>
        <w:rPr>
          <w:rFonts w:cs="Times New Roman"/>
          <w:bCs/>
          <w:lang w:eastAsia="en-US"/>
        </w:rPr>
        <w:t>Развитие и функционирование дорожно-транспортного комплекса</w:t>
      </w:r>
      <w:r>
        <w:rPr>
          <w:rFonts w:cs="Times New Roman"/>
          <w:bCs/>
        </w:rPr>
        <w:t>»</w:t>
      </w:r>
      <w:bookmarkEnd w:id="0"/>
    </w:p>
    <w:bookmarkEnd w:id="1"/>
    <w:p w:rsidR="00782CC7" w:rsidRDefault="00782CC7" w:rsidP="00544AB2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544AB2" w:rsidRDefault="00544AB2" w:rsidP="00544AB2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6D359A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10D23">
        <w:rPr>
          <w:rFonts w:cs="Times New Roman"/>
        </w:rPr>
        <w:t xml:space="preserve"> Российской</w:t>
      </w:r>
      <w:r>
        <w:rPr>
          <w:rFonts w:cs="Times New Roman"/>
        </w:rPr>
        <w:t xml:space="preserve">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 (в редакции постановлений Администрации городского округа Электросталь Московской области от 09.12.2021 №932/12, от 31.10.2022 №1241/10),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№1279/11, </w:t>
      </w:r>
      <w:r>
        <w:rPr>
          <w:kern w:val="16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> </w:t>
      </w:r>
      <w:r>
        <w:rPr>
          <w:rFonts w:cs="Times New Roman"/>
        </w:rPr>
        <w:t xml:space="preserve">Утвердить муниципальную программу городского округа Электросталь Московской области </w:t>
      </w:r>
      <w:r>
        <w:t xml:space="preserve">«Развитие и функционирование дорожно-транспортного комплекса» </w:t>
      </w:r>
      <w:r>
        <w:rPr>
          <w:rFonts w:cs="Times New Roman"/>
        </w:rPr>
        <w:t>(прилагается).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  <w:r>
        <w:t>2</w:t>
      </w:r>
      <w:r>
        <w:rPr>
          <w:rFonts w:cs="Times New Roman"/>
        </w:rPr>
        <w:t xml:space="preserve">. Досрочно прекратить реализацию муниципальной программы городского округа Электросталь Московской «Развитие и функционирование дорожно-транспортного комплекса», утвержденной постановлением </w:t>
      </w:r>
      <w:r>
        <w:t xml:space="preserve">Администрации городского округа Электросталь Московской области </w:t>
      </w:r>
      <w:r>
        <w:rPr>
          <w:rFonts w:cs="Times New Roman"/>
        </w:rPr>
        <w:t>от 16.12.2019 №962/12.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3. Признать утратившим силу с 01.04.2023 постановление Администрации городского округа Электросталь Московской области </w:t>
      </w:r>
      <w:r>
        <w:rPr>
          <w:rFonts w:cs="Times New Roman"/>
        </w:rPr>
        <w:t xml:space="preserve">от 16.12.2019 № 962/12 </w:t>
      </w:r>
      <w:r>
        <w:t xml:space="preserve">«Об утверждении муниципальной программы городского округа Электросталь Московской области «Развитие и функционирование дорожно-транспортного комплекса» </w:t>
      </w:r>
      <w:r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    </w:t>
      </w:r>
      <w:r>
        <w:t xml:space="preserve">от 14.02.2020 № 85/2, от 13.04.2020 № 242/4, от 21.04.2020 № 267/4, от 06.07.2020 № 415/7, от 07.09.2020 № 562/9, от 01.02.2021 №64/2, от 24.02.2021 №141/2, от 15.03.2021 № 207/3, от 27.05.2021 №414/5, от 04.08.2021 №617/8, от 27.08.2021 №677/8, от 30.09.2021 </w:t>
      </w:r>
      <w:r w:rsidR="003F1959">
        <w:t xml:space="preserve">№749/9, от 22.10.2021 №788/10, </w:t>
      </w:r>
      <w:r>
        <w:t>от 04.02.2022 №116/2, от 16.03.2022 №248/3, от 30.03.2022 №</w:t>
      </w:r>
      <w:r w:rsidR="009B3584">
        <w:t xml:space="preserve">301/3, от 15.06.2022 №603/6, </w:t>
      </w:r>
      <w:r>
        <w:t>от 06.07.2022 №695/7, от 14.07.2022 №738/7</w:t>
      </w:r>
      <w:r>
        <w:rPr>
          <w:rFonts w:cs="Times New Roman"/>
        </w:rPr>
        <w:t>).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</w:t>
      </w:r>
      <w:r w:rsidRPr="00B96989">
        <w:rPr>
          <w:rFonts w:cs="Times New Roman"/>
        </w:rPr>
        <w:t> </w:t>
      </w:r>
      <w:r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111D4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E10D23">
        <w:rPr>
          <w:rFonts w:cs="Times New Roman"/>
        </w:rPr>
        <w:t>.</w:t>
      </w:r>
    </w:p>
    <w:p w:rsidR="00782CC7" w:rsidRDefault="00782CC7" w:rsidP="00782CC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5.</w:t>
      </w:r>
      <w:r w:rsidRPr="00B96989">
        <w:rPr>
          <w:rFonts w:cs="Times New Roman"/>
        </w:rPr>
        <w:t> </w:t>
      </w:r>
      <w:r>
        <w:rPr>
          <w:rFonts w:cs="Times New Roman"/>
        </w:rPr>
        <w:t>Настоящее постановление вступает в силу с 01.01.2023</w:t>
      </w:r>
      <w:r>
        <w:t>.</w:t>
      </w:r>
    </w:p>
    <w:p w:rsidR="00782CC7" w:rsidRPr="00B22D32" w:rsidRDefault="00782CC7" w:rsidP="00782CC7">
      <w:pPr>
        <w:autoSpaceDE w:val="0"/>
        <w:autoSpaceDN w:val="0"/>
        <w:adjustRightInd w:val="0"/>
        <w:ind w:firstLine="540"/>
        <w:jc w:val="both"/>
      </w:pPr>
      <w:r>
        <w:lastRenderedPageBreak/>
        <w:t>6.</w:t>
      </w:r>
      <w:r w:rsidRPr="00B96989">
        <w:rPr>
          <w:rFonts w:cs="Times New Roman"/>
        </w:rPr>
        <w:t> </w:t>
      </w:r>
      <w:r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</w:t>
      </w:r>
      <w:r w:rsidRPr="001D7F5D">
        <w:t>Денисова В.А.</w:t>
      </w:r>
    </w:p>
    <w:p w:rsidR="00782CC7" w:rsidRDefault="00782CC7" w:rsidP="00544AB2">
      <w:pPr>
        <w:autoSpaceDE w:val="0"/>
        <w:autoSpaceDN w:val="0"/>
        <w:adjustRightInd w:val="0"/>
        <w:jc w:val="both"/>
      </w:pPr>
    </w:p>
    <w:p w:rsidR="00544AB2" w:rsidRDefault="00544AB2" w:rsidP="00544AB2">
      <w:pPr>
        <w:autoSpaceDE w:val="0"/>
        <w:autoSpaceDN w:val="0"/>
        <w:adjustRightInd w:val="0"/>
        <w:jc w:val="both"/>
      </w:pPr>
    </w:p>
    <w:p w:rsidR="00782CC7" w:rsidRPr="00544AB2" w:rsidRDefault="00782CC7" w:rsidP="00782CC7">
      <w:pPr>
        <w:autoSpaceDE w:val="0"/>
        <w:autoSpaceDN w:val="0"/>
        <w:adjustRightInd w:val="0"/>
        <w:jc w:val="both"/>
      </w:pPr>
    </w:p>
    <w:p w:rsidR="00782CC7" w:rsidRPr="00544AB2" w:rsidRDefault="00782CC7" w:rsidP="00782CC7">
      <w:pPr>
        <w:autoSpaceDE w:val="0"/>
        <w:autoSpaceDN w:val="0"/>
        <w:adjustRightInd w:val="0"/>
        <w:jc w:val="both"/>
      </w:pPr>
    </w:p>
    <w:p w:rsidR="00782CC7" w:rsidRPr="00544AB2" w:rsidRDefault="00782CC7" w:rsidP="00782CC7">
      <w:pPr>
        <w:autoSpaceDE w:val="0"/>
        <w:autoSpaceDN w:val="0"/>
        <w:adjustRightInd w:val="0"/>
        <w:jc w:val="both"/>
      </w:pPr>
    </w:p>
    <w:p w:rsidR="00782CC7" w:rsidRDefault="00782CC7" w:rsidP="00782CC7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782CC7" w:rsidRDefault="00782CC7" w:rsidP="00782CC7">
      <w:pPr>
        <w:jc w:val="both"/>
      </w:pPr>
    </w:p>
    <w:p w:rsidR="00782CC7" w:rsidRDefault="00782CC7" w:rsidP="00782CC7">
      <w:pPr>
        <w:jc w:val="both"/>
        <w:rPr>
          <w:rFonts w:cs="Times New Roman"/>
        </w:rPr>
      </w:pPr>
    </w:p>
    <w:p w:rsidR="00F158F1" w:rsidRDefault="00F158F1" w:rsidP="00696F84">
      <w:pPr>
        <w:spacing w:line="240" w:lineRule="exact"/>
        <w:jc w:val="both"/>
        <w:rPr>
          <w:rFonts w:cs="Times New Roman"/>
          <w:sz w:val="20"/>
          <w:szCs w:val="20"/>
        </w:rPr>
        <w:sectPr w:rsidR="00F158F1" w:rsidSect="00782CC7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158F1" w:rsidRPr="00FA584E" w:rsidRDefault="00F158F1" w:rsidP="00F158F1">
      <w:pPr>
        <w:tabs>
          <w:tab w:val="left" w:pos="851"/>
        </w:tabs>
        <w:ind w:left="10632"/>
      </w:pPr>
      <w:r w:rsidRPr="00FA584E">
        <w:lastRenderedPageBreak/>
        <w:t>УТВЕРЖДЕНА</w:t>
      </w:r>
    </w:p>
    <w:p w:rsidR="00F158F1" w:rsidRPr="00FA584E" w:rsidRDefault="00F158F1" w:rsidP="00F158F1">
      <w:pPr>
        <w:tabs>
          <w:tab w:val="left" w:pos="851"/>
        </w:tabs>
        <w:ind w:left="10632"/>
      </w:pPr>
      <w:r w:rsidRPr="00FA584E">
        <w:t xml:space="preserve">постановлением Администрации городского округа </w:t>
      </w:r>
      <w:r w:rsidR="00544AB2">
        <w:t>Электросталь Московской области</w:t>
      </w:r>
    </w:p>
    <w:p w:rsidR="00F158F1" w:rsidRPr="00FA584E" w:rsidRDefault="00F158F1" w:rsidP="00F158F1">
      <w:pPr>
        <w:tabs>
          <w:tab w:val="left" w:pos="851"/>
        </w:tabs>
        <w:ind w:left="10632"/>
        <w:jc w:val="both"/>
      </w:pPr>
      <w:r w:rsidRPr="00FA584E">
        <w:t xml:space="preserve">от </w:t>
      </w:r>
      <w:r w:rsidR="00544AB2" w:rsidRPr="00544AB2">
        <w:t>14.12.2022</w:t>
      </w:r>
      <w:r w:rsidR="00544AB2">
        <w:t xml:space="preserve"> № </w:t>
      </w:r>
      <w:r w:rsidR="00544AB2" w:rsidRPr="00544AB2">
        <w:t>1480/12</w:t>
      </w:r>
    </w:p>
    <w:p w:rsidR="00F158F1" w:rsidRPr="00FA584E" w:rsidRDefault="00F158F1" w:rsidP="00F158F1">
      <w:pPr>
        <w:jc w:val="center"/>
        <w:outlineLvl w:val="0"/>
      </w:pPr>
    </w:p>
    <w:p w:rsidR="00F158F1" w:rsidRPr="00FA584E" w:rsidRDefault="00F158F1" w:rsidP="00F158F1">
      <w:pPr>
        <w:jc w:val="center"/>
        <w:outlineLvl w:val="0"/>
      </w:pPr>
      <w:r w:rsidRPr="00FA584E">
        <w:t>Муниципальная программа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>«Развитие и функционирование дорожно-транспортного комплекса»</w:t>
      </w:r>
    </w:p>
    <w:p w:rsidR="00F158F1" w:rsidRPr="00FA584E" w:rsidRDefault="00F158F1" w:rsidP="00F158F1">
      <w:pPr>
        <w:jc w:val="center"/>
      </w:pP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 xml:space="preserve">1. Паспорт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 xml:space="preserve">«Развитие и функционирование дорожно-транспортного комплекса»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701"/>
        <w:gridCol w:w="1560"/>
        <w:gridCol w:w="1417"/>
        <w:gridCol w:w="1701"/>
        <w:gridCol w:w="1418"/>
        <w:gridCol w:w="1361"/>
      </w:tblGrid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  <w:vMerge w:val="restart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D706FB">
              <w:t>Повышение доступности и качества транспортных услуг для населения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FA584E">
              <w:t xml:space="preserve">Обеспечение нормативного </w:t>
            </w:r>
            <w:r w:rsidRPr="008F666E">
              <w:t xml:space="preserve">состояния автомобильных дорог местного значения на территории городского округа Электросталь Московской области 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EF4BDF">
              <w:t>Повышение безопасности дорожно-транспортного комплекса городского округа Электросталь Московской области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158F1" w:rsidRPr="00FA584E" w:rsidTr="006D359A">
        <w:trPr>
          <w:trHeight w:val="67"/>
        </w:trPr>
        <w:tc>
          <w:tcPr>
            <w:tcW w:w="5732" w:type="dxa"/>
          </w:tcPr>
          <w:p w:rsidR="00F158F1" w:rsidRPr="00FA584E" w:rsidRDefault="00F158F1" w:rsidP="006D359A">
            <w:r w:rsidRPr="00FA584E">
              <w:t xml:space="preserve">1.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 xml:space="preserve"> «Пассажирский транспорт общего пользования»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FA584E"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6D359A">
        <w:trPr>
          <w:trHeight w:val="28"/>
        </w:trPr>
        <w:tc>
          <w:tcPr>
            <w:tcW w:w="5732" w:type="dxa"/>
          </w:tcPr>
          <w:p w:rsidR="00F158F1" w:rsidRPr="00FA584E" w:rsidRDefault="00F158F1" w:rsidP="006D359A">
            <w:r w:rsidRPr="00FA584E">
              <w:t xml:space="preserve">2.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>I «Дороги Подмосковья»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r w:rsidRPr="00FA584E">
              <w:t xml:space="preserve">Комитет по строительству, дорожной деятельности и благоустройства Администрации </w:t>
            </w:r>
            <w:r w:rsidRPr="00FA584E">
              <w:lastRenderedPageBreak/>
              <w:t>городского округа Электросталь Московской области</w:t>
            </w:r>
          </w:p>
        </w:tc>
      </w:tr>
      <w:tr w:rsidR="00F158F1" w:rsidRPr="00FA584E" w:rsidTr="006D359A">
        <w:tc>
          <w:tcPr>
            <w:tcW w:w="5732" w:type="dxa"/>
            <w:vMerge w:val="restart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F158F1" w:rsidRPr="00FA584E" w:rsidTr="006D359A">
        <w:tc>
          <w:tcPr>
            <w:tcW w:w="5732" w:type="dxa"/>
            <w:vMerge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6D359A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84E">
              <w:rPr>
                <w:rFonts w:ascii="Times New Roman" w:hAnsi="Times New Roman"/>
                <w:bCs/>
                <w:sz w:val="24"/>
                <w:szCs w:val="24"/>
              </w:rPr>
              <w:t>Мероприятия Подпрограммы II «Дороги Подмосковья» направлены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r w:rsidRPr="00FA584E"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01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F158F1" w:rsidRPr="00FA584E" w:rsidRDefault="00F158F1" w:rsidP="006D35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r w:rsidRPr="00FA584E"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977 780,00</w:t>
            </w: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194 731,00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210 932,00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214 449,00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315 480,0</w:t>
            </w:r>
            <w:r>
              <w:rPr>
                <w:color w:val="000000"/>
              </w:rPr>
              <w:t>0</w:t>
            </w:r>
            <w:r w:rsidRPr="00E43CF5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94 911,00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117 063,00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103 506,00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58F1" w:rsidRPr="00FA584E" w:rsidTr="006D359A">
        <w:tc>
          <w:tcPr>
            <w:tcW w:w="5732" w:type="dxa"/>
          </w:tcPr>
          <w:p w:rsidR="00F158F1" w:rsidRPr="00FA584E" w:rsidRDefault="00F158F1" w:rsidP="006D35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1 293 260,00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289 642,00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327 995,00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317 955,00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6D359A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</w:tbl>
    <w:p w:rsidR="00F158F1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035"/>
        </w:tabs>
        <w:jc w:val="center"/>
      </w:pPr>
      <w:r w:rsidRPr="00243B1E">
        <w:lastRenderedPageBreak/>
        <w:t>2. Краткая характеристика сферы реализации муниципальной программы</w:t>
      </w:r>
    </w:p>
    <w:p w:rsidR="00F158F1" w:rsidRPr="00243B1E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98666B">
        <w:t>Одним из основных приоритетов социально-экономической политики городского округа</w:t>
      </w:r>
      <w:r>
        <w:t xml:space="preserve"> Электросталь</w:t>
      </w:r>
      <w:r w:rsidRPr="0098666B"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  <w:r w:rsidRPr="0070435D">
        <w:t xml:space="preserve"> 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Настоящая муниципальная программа разработана в целях: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1. Повышения доступности и качества транспортных услуг для населения.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2. Обеспечения нормативного состояния автомобильных дорог местного значения на территории городского округа Электросталь Московской области.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3. Повышения безопасности дорожно-транспортного комплекса городского округа Электросталь Московской области.</w:t>
      </w:r>
    </w:p>
    <w:p w:rsidR="00F158F1" w:rsidRPr="00034A1E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FF0000"/>
        </w:rPr>
      </w:pPr>
      <w:r w:rsidRPr="00982F35">
        <w:t xml:space="preserve">Дорожно-транспортный комплекс является составной частью производственной инфраструктуры </w:t>
      </w:r>
      <w:r>
        <w:t>городского округа Электросталь</w:t>
      </w:r>
      <w:r w:rsidRPr="00982F35"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 связи жилого сектора с объектами социальной инфраструктуры и объектами промышленности.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 xml:space="preserve">Систему пассажирского транспорта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Электросталь составляет сеть маршрутов автомобильного транспорта регулярного сообщения.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4969">
        <w:rPr>
          <w:rFonts w:ascii="Times New Roman" w:hAnsi="Times New Roman" w:cs="Times New Roman"/>
          <w:sz w:val="24"/>
          <w:szCs w:val="24"/>
        </w:rPr>
        <w:t xml:space="preserve">аршрутная сеть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включает 41 маршрут,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D94969">
        <w:rPr>
          <w:rFonts w:ascii="Times New Roman" w:hAnsi="Times New Roman" w:cs="Times New Roman"/>
          <w:sz w:val="24"/>
          <w:szCs w:val="24"/>
        </w:rPr>
        <w:t xml:space="preserve">из которых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D9496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94969">
        <w:rPr>
          <w:rFonts w:ascii="Times New Roman" w:hAnsi="Times New Roman" w:cs="Times New Roman"/>
          <w:sz w:val="24"/>
          <w:szCs w:val="24"/>
        </w:rPr>
        <w:t>. Муниципальные маршруты обслуживают 4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969">
        <w:rPr>
          <w:rFonts w:ascii="Times New Roman" w:hAnsi="Times New Roman" w:cs="Times New Roman"/>
          <w:sz w:val="24"/>
          <w:szCs w:val="24"/>
        </w:rPr>
        <w:t xml:space="preserve"> </w:t>
      </w:r>
      <w:r w:rsidRPr="00BF1D95">
        <w:rPr>
          <w:rFonts w:ascii="Times New Roman" w:hAnsi="Times New Roman" w:cs="Times New Roman"/>
          <w:sz w:val="24"/>
          <w:szCs w:val="24"/>
        </w:rPr>
        <w:t>«МАП № 12 г. Ногинск» филиал АО «МОСТРАНСАВТО» ПБ г.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496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коммерческих организации. На всех муниципальных маршрутах отдельным категориям граждан предоставляются льготы. Общая протяженность городских маршрутов более 300 км. Общая протяженность улиц и дорог, по которым проходят маршруты автомобильного пассажирского транспорта регулярного сообщения более 47 км. На муниципальных маршрутах ежедневно </w:t>
      </w:r>
      <w:r w:rsidRPr="00034A1E">
        <w:rPr>
          <w:rFonts w:ascii="Times New Roman" w:hAnsi="Times New Roman" w:cs="Times New Roman"/>
          <w:sz w:val="24"/>
          <w:szCs w:val="24"/>
        </w:rPr>
        <w:t>работает 135 автобусов:</w:t>
      </w:r>
      <w:r w:rsidRPr="00D9496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автобуса малого класса, 33 среднего класса и 49 большого класса. 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4969">
        <w:rPr>
          <w:rFonts w:ascii="Times New Roman" w:hAnsi="Times New Roman" w:cs="Times New Roman"/>
          <w:sz w:val="24"/>
          <w:szCs w:val="24"/>
        </w:rPr>
        <w:t>беспечение доступности качественных транспортных услуг для населения, выполнение параметров перевозок по маршрутам регулярных перевозок по регулируемым тарифам, на которых отдельным гражданам предоставл</w:t>
      </w:r>
      <w:r>
        <w:rPr>
          <w:rFonts w:ascii="Times New Roman" w:hAnsi="Times New Roman" w:cs="Times New Roman"/>
          <w:sz w:val="24"/>
          <w:szCs w:val="24"/>
        </w:rPr>
        <w:t>яются меры социальной поддержки является одним из направлений реализации данной муниципальной программы.</w:t>
      </w:r>
    </w:p>
    <w:p w:rsidR="00F158F1" w:rsidRDefault="00F158F1" w:rsidP="00F158F1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>
        <w:rPr>
          <w:color w:val="auto"/>
        </w:rPr>
        <w:t xml:space="preserve"> </w:t>
      </w:r>
    </w:p>
    <w:p w:rsidR="00F158F1" w:rsidRPr="00D94969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lastRenderedPageBreak/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</w:t>
      </w:r>
      <w:r>
        <w:rPr>
          <w:color w:val="auto"/>
        </w:rPr>
        <w:t>.</w:t>
      </w:r>
      <w:r w:rsidRPr="00034A1E">
        <w:t xml:space="preserve">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 общей протяженностью 162,6 км.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низкое качество дорожного покрытия (дорожного полотна);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отсутствие какого-либо покрытия на некоторых дорогах;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низкая укомплектованность элементами организации дорожного движения.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Все это создает неудобства и трудности при эксплуатации автомобильных дорог общего пользования местного значения.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финансирования, стратегии распределения финансовых ресурсов в условиях их ограниченных объемов. 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</w:t>
      </w:r>
      <w:r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lastRenderedPageBreak/>
        <w:t>Анализ аварийности показывает, что ситуация с обеспечением безопасности дорожного движения достаточно сложная</w:t>
      </w:r>
      <w:r>
        <w:t>:</w:t>
      </w:r>
    </w:p>
    <w:tbl>
      <w:tblPr>
        <w:tblStyle w:val="23"/>
        <w:tblW w:w="4458" w:type="pct"/>
        <w:tblInd w:w="817" w:type="dxa"/>
        <w:tblLook w:val="04A0" w:firstRow="1" w:lastRow="0" w:firstColumn="1" w:lastColumn="0" w:noHBand="0" w:noVBand="1"/>
      </w:tblPr>
      <w:tblGrid>
        <w:gridCol w:w="1281"/>
        <w:gridCol w:w="1416"/>
        <w:gridCol w:w="1416"/>
        <w:gridCol w:w="1566"/>
        <w:gridCol w:w="1566"/>
        <w:gridCol w:w="1266"/>
        <w:gridCol w:w="1793"/>
        <w:gridCol w:w="1569"/>
        <w:gridCol w:w="1310"/>
      </w:tblGrid>
      <w:tr w:rsidR="00F158F1" w:rsidRPr="009C3302" w:rsidTr="006D359A">
        <w:tc>
          <w:tcPr>
            <w:tcW w:w="1559" w:type="pct"/>
            <w:gridSpan w:val="3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Количество ДТП</w:t>
            </w:r>
          </w:p>
        </w:tc>
        <w:tc>
          <w:tcPr>
            <w:tcW w:w="1668" w:type="pct"/>
            <w:gridSpan w:val="3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Погибло</w:t>
            </w:r>
          </w:p>
        </w:tc>
        <w:tc>
          <w:tcPr>
            <w:tcW w:w="1773" w:type="pct"/>
            <w:gridSpan w:val="3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Ранено</w:t>
            </w:r>
          </w:p>
        </w:tc>
      </w:tr>
      <w:tr w:rsidR="00F158F1" w:rsidRPr="009C3302" w:rsidTr="006D359A">
        <w:tc>
          <w:tcPr>
            <w:tcW w:w="486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6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5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98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</w:tr>
      <w:tr w:rsidR="00F158F1" w:rsidRPr="009C3302" w:rsidTr="006D359A">
        <w:tc>
          <w:tcPr>
            <w:tcW w:w="486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537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44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594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680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53</w:t>
            </w:r>
          </w:p>
        </w:tc>
        <w:tc>
          <w:tcPr>
            <w:tcW w:w="595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57</w:t>
            </w:r>
          </w:p>
        </w:tc>
        <w:tc>
          <w:tcPr>
            <w:tcW w:w="498" w:type="pct"/>
          </w:tcPr>
          <w:p w:rsidR="00F158F1" w:rsidRPr="009C3302" w:rsidRDefault="00F158F1" w:rsidP="006D35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</w:tbl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9C3302">
        <w:rPr>
          <w:bCs/>
        </w:rPr>
        <w:t>Основными видами дорож</w:t>
      </w:r>
      <w:r w:rsidRPr="002E73ED">
        <w:rPr>
          <w:bCs/>
        </w:rPr>
        <w:t>но-транспортных происшествий на территории городского округа Электросталь явля</w:t>
      </w:r>
      <w:r>
        <w:rPr>
          <w:bCs/>
        </w:rPr>
        <w:t>ю</w:t>
      </w:r>
      <w:r w:rsidRPr="002E73ED">
        <w:rPr>
          <w:bCs/>
        </w:rPr>
        <w:t>тся: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наезд на пешехода</w:t>
      </w:r>
      <w:r>
        <w:rPr>
          <w:bCs/>
        </w:rPr>
        <w:t xml:space="preserve"> - </w:t>
      </w:r>
      <w:r w:rsidRPr="002E73ED">
        <w:rPr>
          <w:bCs/>
        </w:rPr>
        <w:t>47,8%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столкновение – 41,3%.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rPr>
          <w:spacing w:val="2"/>
        </w:rPr>
        <w:t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2E73ED">
        <w:t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происшествий.</w:t>
      </w:r>
    </w:p>
    <w:p w:rsidR="00F158F1" w:rsidRPr="009B3571" w:rsidRDefault="00F158F1" w:rsidP="00F158F1">
      <w:pPr>
        <w:pStyle w:val="Default"/>
        <w:ind w:firstLine="709"/>
        <w:jc w:val="both"/>
        <w:rPr>
          <w:i/>
          <w:u w:val="single"/>
        </w:rPr>
      </w:pPr>
      <w:r w:rsidRPr="009B3571">
        <w:t>Прогноз развития соответствующей сферы реализации муниципальной программы</w:t>
      </w:r>
      <w:r>
        <w:t>:</w:t>
      </w:r>
    </w:p>
    <w:p w:rsidR="00F158F1" w:rsidRPr="00EF4BDF" w:rsidRDefault="00F158F1" w:rsidP="00F158F1">
      <w:pPr>
        <w:ind w:firstLine="708"/>
      </w:pPr>
      <w:r w:rsidRPr="00EF4BDF">
        <w:t>1) Пассажирский транспорт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F158F1" w:rsidRPr="004479DE" w:rsidRDefault="00F158F1" w:rsidP="00F158F1">
      <w:pPr>
        <w:ind w:firstLine="709"/>
        <w:jc w:val="both"/>
        <w:rPr>
          <w:rStyle w:val="submenu-table"/>
          <w:shd w:val="clear" w:color="auto" w:fill="FFFFFF"/>
        </w:rPr>
      </w:pPr>
      <w:r w:rsidRPr="004479DE">
        <w:rPr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Первый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>
        <w:rPr>
          <w:shd w:val="clear" w:color="auto" w:fill="FFFFFF"/>
        </w:rPr>
        <w:t xml:space="preserve"> </w:t>
      </w:r>
      <w:r w:rsidRPr="004479DE">
        <w:rPr>
          <w:shd w:val="clear" w:color="auto" w:fill="FFFFFF"/>
        </w:rPr>
        <w:t xml:space="preserve">К основным рискам реализации данного варианта можно отнести неопределенность объемов инвестиций.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F158F1" w:rsidRPr="004479DE" w:rsidRDefault="00F158F1" w:rsidP="00F158F1">
      <w:pPr>
        <w:ind w:firstLine="709"/>
        <w:jc w:val="both"/>
        <w:rPr>
          <w:rStyle w:val="submenu-table"/>
          <w:bCs/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Второй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hd w:val="clear" w:color="auto" w:fill="FFFFFF"/>
        </w:rPr>
        <w:t xml:space="preserve"> </w:t>
      </w:r>
    </w:p>
    <w:p w:rsidR="00F158F1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F158F1" w:rsidRPr="00EF4BDF" w:rsidRDefault="00F158F1" w:rsidP="00F158F1">
      <w:pPr>
        <w:ind w:firstLine="709"/>
        <w:jc w:val="both"/>
      </w:pPr>
      <w:r w:rsidRPr="00EF4BDF">
        <w:t>2) Муниципальные автомобильные дороги</w:t>
      </w:r>
    </w:p>
    <w:p w:rsidR="00F158F1" w:rsidRDefault="00F158F1" w:rsidP="00F158F1">
      <w:pPr>
        <w:ind w:firstLine="709"/>
        <w:jc w:val="both"/>
      </w:pPr>
      <w:r w:rsidRPr="008F6526"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</w:t>
      </w:r>
      <w:r w:rsidRPr="008F6526">
        <w:lastRenderedPageBreak/>
        <w:t>закрытой системой ливневой канализации протяжённостью более 25 километров, что является одним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>
        <w:t xml:space="preserve"> </w:t>
      </w:r>
      <w:r w:rsidRPr="008F6526"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</w:rPr>
        <w:t xml:space="preserve"> </w:t>
      </w:r>
      <w:r w:rsidRPr="008F6526"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t xml:space="preserve"> </w:t>
      </w:r>
    </w:p>
    <w:p w:rsidR="00F158F1" w:rsidRDefault="00F158F1" w:rsidP="00F158F1">
      <w:pPr>
        <w:ind w:firstLine="709"/>
        <w:jc w:val="both"/>
      </w:pPr>
      <w:r>
        <w:t xml:space="preserve">За период 2020-2022 гг. осуществлен текущий и капитальный ремонт свыше 25 км </w:t>
      </w:r>
      <w:r w:rsidRPr="00AB48C3">
        <w:t xml:space="preserve">муниципальных автомобильных </w:t>
      </w:r>
      <w:r>
        <w:t xml:space="preserve">дорог. </w:t>
      </w:r>
    </w:p>
    <w:p w:rsidR="00F158F1" w:rsidRDefault="00F158F1" w:rsidP="00F158F1">
      <w:pPr>
        <w:ind w:firstLine="709"/>
        <w:jc w:val="both"/>
      </w:pPr>
      <w:r w:rsidRPr="00AB48C3">
        <w:t xml:space="preserve">В реальных условиях финансирования дорожной деятельности </w:t>
      </w:r>
      <w:r>
        <w:t xml:space="preserve">необходимо </w:t>
      </w:r>
      <w:r w:rsidRPr="00AB48C3">
        <w:t xml:space="preserve">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158F1" w:rsidRDefault="00F158F1" w:rsidP="00F158F1">
      <w:pPr>
        <w:ind w:firstLine="709"/>
        <w:jc w:val="both"/>
      </w:pPr>
      <w:r>
        <w:t>В связи с этим</w:t>
      </w:r>
      <w:r w:rsidRPr="00AB48C3">
        <w:t xml:space="preserve">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:rsidR="00F158F1" w:rsidRDefault="00F158F1" w:rsidP="00F158F1">
      <w:pPr>
        <w:tabs>
          <w:tab w:val="left" w:pos="540"/>
          <w:tab w:val="left" w:pos="2775"/>
        </w:tabs>
        <w:spacing w:line="0" w:lineRule="atLeast"/>
        <w:ind w:firstLine="709"/>
        <w:jc w:val="both"/>
      </w:pPr>
      <w:r w:rsidRPr="00AB48C3"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F158F1" w:rsidRPr="00EF4BDF" w:rsidRDefault="00F158F1" w:rsidP="00F158F1">
      <w:pPr>
        <w:ind w:firstLine="708"/>
      </w:pPr>
      <w:r w:rsidRPr="00EF4BDF">
        <w:t>3) Безопасность дорожного движения</w:t>
      </w:r>
    </w:p>
    <w:p w:rsidR="00F158F1" w:rsidRPr="004479DE" w:rsidRDefault="00F158F1" w:rsidP="00F158F1">
      <w:pPr>
        <w:ind w:firstLine="708"/>
        <w:jc w:val="both"/>
      </w:pPr>
      <w:r>
        <w:t>П</w:t>
      </w:r>
      <w:r w:rsidRPr="004479DE">
        <w:t>ри формировании Программы заложены принципы максимального охвата решения проблем</w:t>
      </w:r>
      <w:r>
        <w:t>,</w:t>
      </w:r>
      <w:r w:rsidRPr="004479DE">
        <w:t xml:space="preserve"> направленных на безопасность дорожного движения и снижения тяжести последствий дорожно-транспортных происшествий.</w:t>
      </w:r>
    </w:p>
    <w:p w:rsidR="00F158F1" w:rsidRPr="004479DE" w:rsidRDefault="00F158F1" w:rsidP="00F158F1">
      <w:pPr>
        <w:ind w:firstLine="708"/>
        <w:jc w:val="both"/>
      </w:pPr>
      <w:r w:rsidRPr="004479DE">
        <w:t>Для достижения цели должна быть решена задача снижения социального риска от ДТП.</w:t>
      </w:r>
    </w:p>
    <w:p w:rsidR="00F158F1" w:rsidRPr="004479DE" w:rsidRDefault="00F158F1" w:rsidP="00F158F1">
      <w:pPr>
        <w:ind w:firstLine="708"/>
        <w:jc w:val="both"/>
      </w:pPr>
      <w:r w:rsidRPr="004479DE">
        <w:t>В целях снижения социального риска от ДТП программой предусмотрены мероприятия по предупреждению детского дорожно-транспортного травматизма</w:t>
      </w:r>
      <w:r>
        <w:t>,</w:t>
      </w:r>
      <w:r w:rsidRPr="004479DE">
        <w:t xml:space="preserve"> ликвидация мест концентрации дорожно-трансп</w:t>
      </w:r>
      <w:r>
        <w:t>ортных происшествий, организация</w:t>
      </w:r>
      <w:r w:rsidRPr="004479DE">
        <w:t xml:space="preserve">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>
        <w:t xml:space="preserve"> </w:t>
      </w:r>
    </w:p>
    <w:p w:rsidR="00F158F1" w:rsidRDefault="00F158F1" w:rsidP="00F158F1">
      <w:pPr>
        <w:ind w:firstLine="708"/>
        <w:jc w:val="both"/>
      </w:pPr>
      <w:r w:rsidRPr="009C3302">
        <w:t xml:space="preserve">Комплексный подход к решению проблем дорожно-транспортного </w:t>
      </w:r>
      <w:r w:rsidRPr="00045B4C">
        <w:t>комплекса городского округа Электросталь Московской</w:t>
      </w:r>
      <w:r w:rsidRPr="009C3302">
        <w:t xml:space="preserve"> области в рамках Программы позволит обеспечить сбалансированное развитие транспортной системы и удовлетворить спрос </w:t>
      </w:r>
      <w:r>
        <w:t xml:space="preserve">населения </w:t>
      </w:r>
      <w:r w:rsidRPr="009C3302">
        <w:t>на транспортные услуги.</w:t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lastRenderedPageBreak/>
        <w:t xml:space="preserve">3. Целевые показатели </w:t>
      </w:r>
    </w:p>
    <w:p w:rsidR="00F158F1" w:rsidRPr="00243B1E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t xml:space="preserve">муниципальной программы городского округа Электросталь Московской области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1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2052"/>
      </w:tblGrid>
      <w:tr w:rsidR="00F158F1" w:rsidRPr="00916EC8" w:rsidTr="006D359A">
        <w:tc>
          <w:tcPr>
            <w:tcW w:w="567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61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52" w:type="dxa"/>
            <w:vMerge w:val="restart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F158F1" w:rsidRPr="00916EC8" w:rsidTr="006D359A">
        <w:tc>
          <w:tcPr>
            <w:tcW w:w="567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916EC8" w:rsidTr="006D359A">
        <w:trPr>
          <w:trHeight w:val="32"/>
        </w:trPr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158F1" w:rsidRPr="00916EC8" w:rsidTr="006D359A">
        <w:tc>
          <w:tcPr>
            <w:tcW w:w="15161" w:type="dxa"/>
            <w:gridSpan w:val="12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доступности и качества транспортных услуг для населения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158F1" w:rsidRPr="00916EC8" w:rsidTr="006D359A"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Подпрограмма I,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F158F1" w:rsidRPr="00916EC8" w:rsidTr="006D359A">
        <w:tc>
          <w:tcPr>
            <w:tcW w:w="15161" w:type="dxa"/>
            <w:gridSpan w:val="12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Цель «Обеспечение нормативного состояния автомобильных дорог местного значения на территории городского округа Электросталь Московской области»</w:t>
            </w:r>
          </w:p>
        </w:tc>
      </w:tr>
      <w:tr w:rsidR="00F158F1" w:rsidRPr="00916EC8" w:rsidTr="006D359A"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59,2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62,2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65,0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04.01</w:t>
            </w:r>
          </w:p>
        </w:tc>
      </w:tr>
      <w:tr w:rsidR="00F158F1" w:rsidRPr="00916EC8" w:rsidTr="006D359A">
        <w:tc>
          <w:tcPr>
            <w:tcW w:w="15161" w:type="dxa"/>
            <w:gridSpan w:val="12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безопасности дорожно-транспортного комплекса городского округа Электросталь Московской области»</w:t>
            </w:r>
          </w:p>
        </w:tc>
      </w:tr>
      <w:tr w:rsidR="00F158F1" w:rsidRPr="00916EC8" w:rsidTr="006D359A">
        <w:tc>
          <w:tcPr>
            <w:tcW w:w="567" w:type="dxa"/>
          </w:tcPr>
          <w:p w:rsidR="00F158F1" w:rsidRPr="00916EC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61" w:type="dxa"/>
          </w:tcPr>
          <w:p w:rsidR="00F158F1" w:rsidRPr="00916EC8" w:rsidRDefault="00F158F1" w:rsidP="006D359A">
            <w:pPr>
              <w:rPr>
                <w:i/>
                <w:sz w:val="18"/>
                <w:szCs w:val="18"/>
              </w:rPr>
            </w:pPr>
            <w:r w:rsidRPr="00916EC8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происшествиях, человек на 100 тысяч населения</w:t>
            </w:r>
            <w:r w:rsidRPr="00916EC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Указ Президента Российской Федерации</w:t>
            </w:r>
          </w:p>
          <w:p w:rsidR="00F158F1" w:rsidRPr="00916EC8" w:rsidRDefault="00F158F1" w:rsidP="006D359A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чел./</w:t>
            </w:r>
          </w:p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100 тыс. населения</w:t>
            </w:r>
          </w:p>
        </w:tc>
        <w:tc>
          <w:tcPr>
            <w:tcW w:w="897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3,942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3,88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3,85</w:t>
            </w:r>
          </w:p>
        </w:tc>
        <w:tc>
          <w:tcPr>
            <w:tcW w:w="851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3,83</w:t>
            </w:r>
          </w:p>
        </w:tc>
        <w:tc>
          <w:tcPr>
            <w:tcW w:w="850" w:type="dxa"/>
          </w:tcPr>
          <w:p w:rsidR="00F158F1" w:rsidRPr="00916EC8" w:rsidRDefault="00F158F1" w:rsidP="006D359A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3,81</w:t>
            </w:r>
          </w:p>
        </w:tc>
        <w:tc>
          <w:tcPr>
            <w:tcW w:w="1843" w:type="dxa"/>
          </w:tcPr>
          <w:p w:rsidR="00F158F1" w:rsidRPr="00916EC8" w:rsidRDefault="00F158F1" w:rsidP="006D359A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  <w:lang w:eastAsia="en-US"/>
              </w:rPr>
            </w:pPr>
            <w:r w:rsidRPr="00916EC8">
              <w:rPr>
                <w:sz w:val="18"/>
                <w:szCs w:val="18"/>
              </w:rPr>
              <w:t>КСДДиБ</w:t>
            </w:r>
          </w:p>
        </w:tc>
        <w:tc>
          <w:tcPr>
            <w:tcW w:w="2052" w:type="dxa"/>
          </w:tcPr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rPr>
          <w:b/>
          <w:bCs/>
        </w:rPr>
      </w:pPr>
      <w:r>
        <w:rPr>
          <w:b/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158F1" w:rsidRPr="006B6E85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«Пассажирский транспорт общего пользования»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1701"/>
        <w:gridCol w:w="993"/>
        <w:gridCol w:w="709"/>
        <w:gridCol w:w="567"/>
        <w:gridCol w:w="567"/>
        <w:gridCol w:w="567"/>
        <w:gridCol w:w="567"/>
        <w:gridCol w:w="850"/>
        <w:gridCol w:w="851"/>
        <w:gridCol w:w="850"/>
        <w:gridCol w:w="851"/>
        <w:gridCol w:w="1418"/>
      </w:tblGrid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79" w:type="dxa"/>
            <w:gridSpan w:val="9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C80E90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Мероприятие 02.01.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</w:p>
        </w:tc>
      </w:tr>
      <w:tr w:rsidR="00F158F1" w:rsidRPr="006B6E85" w:rsidTr="006D359A">
        <w:trPr>
          <w:trHeight w:val="775"/>
        </w:trPr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Соблюдение расписания на маршрутах, %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  <w:lang w:val="en-US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6D359A">
        <w:trPr>
          <w:trHeight w:val="20"/>
        </w:trPr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6D359A">
        <w:tc>
          <w:tcPr>
            <w:tcW w:w="425" w:type="dxa"/>
            <w:vMerge w:val="restart"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6D359A">
        <w:tc>
          <w:tcPr>
            <w:tcW w:w="425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6D35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6D359A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6D35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F1" w:rsidRDefault="00F158F1" w:rsidP="00F158F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«Дороги Подмосковья»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1701"/>
        <w:gridCol w:w="1201"/>
        <w:gridCol w:w="850"/>
        <w:gridCol w:w="567"/>
        <w:gridCol w:w="574"/>
        <w:gridCol w:w="709"/>
        <w:gridCol w:w="709"/>
        <w:gridCol w:w="1059"/>
        <w:gridCol w:w="992"/>
        <w:gridCol w:w="1007"/>
        <w:gridCol w:w="1045"/>
        <w:gridCol w:w="7"/>
        <w:gridCol w:w="12"/>
        <w:gridCol w:w="1615"/>
      </w:tblGrid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519" w:type="dxa"/>
            <w:gridSpan w:val="10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7" w:type="dxa"/>
            <w:gridSpan w:val="2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rPr>
          <w:trHeight w:val="20"/>
        </w:trPr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04.01.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424 033,00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127 569,00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157 343,00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139 121,00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rPr>
          <w:trHeight w:val="359"/>
        </w:trPr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108 553,00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32 658,00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40 280,00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35 615,00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rPr>
          <w:trHeight w:val="118"/>
        </w:trPr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315 480,000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94 911,00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значения, км/ м2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63,809/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285,0018</w:t>
            </w:r>
          </w:p>
        </w:tc>
        <w:tc>
          <w:tcPr>
            <w:tcW w:w="850" w:type="dxa"/>
          </w:tcPr>
          <w:p w:rsidR="00F158F1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E14224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8F1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709" w:type="dxa"/>
          </w:tcPr>
          <w:p w:rsidR="00F158F1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04.07.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32" w:type="dxa"/>
            <w:gridSpan w:val="12"/>
            <w:vMerge w:val="restart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 xml:space="preserve">В пределах средств, предусмотренных на основную деятельность </w:t>
            </w:r>
          </w:p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4E6686">
              <w:rPr>
                <w:color w:val="000000"/>
                <w:sz w:val="16"/>
                <w:szCs w:val="16"/>
              </w:rPr>
              <w:t>тветственных за выполнение мероприятия</w:t>
            </w:r>
          </w:p>
        </w:tc>
        <w:tc>
          <w:tcPr>
            <w:tcW w:w="161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32" w:type="dxa"/>
            <w:gridSpan w:val="12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6D359A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Создание парковочного пространства на улично-дорожной сети, шт.</w:t>
            </w:r>
          </w:p>
          <w:p w:rsidR="00F158F1" w:rsidRPr="004E6686" w:rsidRDefault="00F158F1" w:rsidP="006D359A">
            <w:pPr>
              <w:rPr>
                <w:color w:val="FF0000"/>
                <w:sz w:val="16"/>
                <w:szCs w:val="16"/>
              </w:rPr>
            </w:pPr>
          </w:p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F158F1" w:rsidRPr="00F50321" w:rsidRDefault="00F158F1" w:rsidP="006D359A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04.08.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160 385,060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168 852,000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160 185,0</w:t>
            </w: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168 652,00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1 000,00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6D359A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Протяженность дорог местного значения, содержащихся за счет бюджетных средств, км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rPr>
          <w:trHeight w:val="20"/>
        </w:trPr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850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67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74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59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992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07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45" w:type="dxa"/>
          </w:tcPr>
          <w:p w:rsidR="00F158F1" w:rsidRPr="00FE1A1B" w:rsidRDefault="00F158F1" w:rsidP="006D359A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1.4.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Мероприятие 04.09.</w:t>
            </w:r>
          </w:p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КСДДиБ, </w:t>
            </w:r>
          </w:p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6D359A">
        <w:tc>
          <w:tcPr>
            <w:tcW w:w="425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6D35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6D3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6D3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6D35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6</w:t>
      </w:r>
      <w:r w:rsidRPr="00243B1E">
        <w:t xml:space="preserve">. Методика расчета значений целевых показателей </w:t>
      </w:r>
    </w:p>
    <w:p w:rsidR="00F158F1" w:rsidRDefault="00F158F1" w:rsidP="00F158F1">
      <w:pPr>
        <w:tabs>
          <w:tab w:val="left" w:pos="1845"/>
        </w:tabs>
        <w:jc w:val="center"/>
      </w:pPr>
      <w:r w:rsidRPr="00243B1E">
        <w:t>муниципальной программы городского округа Электросталь Московской области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119"/>
        <w:gridCol w:w="1276"/>
        <w:gridCol w:w="6095"/>
        <w:gridCol w:w="2410"/>
        <w:gridCol w:w="1701"/>
      </w:tblGrid>
      <w:tr w:rsidR="00F158F1" w:rsidRPr="00ED7978" w:rsidTr="006D359A">
        <w:trPr>
          <w:trHeight w:val="276"/>
        </w:trPr>
        <w:tc>
          <w:tcPr>
            <w:tcW w:w="738" w:type="dxa"/>
          </w:tcPr>
          <w:p w:rsidR="00F158F1" w:rsidRPr="00ED7978" w:rsidRDefault="00F158F1" w:rsidP="006D359A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 xml:space="preserve">№ </w:t>
            </w:r>
            <w:r w:rsidRPr="00ED7978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F158F1" w:rsidRPr="00ED7978" w:rsidTr="006D359A">
        <w:trPr>
          <w:trHeight w:val="28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4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5</w:t>
            </w:r>
          </w:p>
        </w:tc>
        <w:tc>
          <w:tcPr>
            <w:tcW w:w="1701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6</w:t>
            </w:r>
          </w:p>
        </w:tc>
      </w:tr>
      <w:tr w:rsidR="00F158F1" w:rsidRPr="00ED7978" w:rsidTr="006D359A">
        <w:trPr>
          <w:trHeight w:val="250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1.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rPr>
                <w:szCs w:val="18"/>
              </w:rPr>
            </w:pPr>
            <w:r w:rsidRPr="00ED7978">
              <w:rPr>
                <w:szCs w:val="18"/>
                <w:lang w:eastAsia="en-US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Методика расчета показателя будет определена после утверждения методики расчета данного показателя на уровне Министерства транспорта и дорожной инфраструктуры Московской области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  <w:highlight w:val="yellow"/>
              </w:rPr>
            </w:pPr>
            <w:r w:rsidRPr="00ED7978">
              <w:rPr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годовая</w:t>
            </w:r>
          </w:p>
        </w:tc>
      </w:tr>
      <w:tr w:rsidR="00F158F1" w:rsidRPr="00ED7978" w:rsidTr="006D359A">
        <w:trPr>
          <w:trHeight w:val="390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2.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276" w:type="dxa"/>
          </w:tcPr>
          <w:p w:rsidR="00F158F1" w:rsidRDefault="00F158F1" w:rsidP="006D359A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чел./</w:t>
            </w:r>
          </w:p>
          <w:p w:rsidR="00F158F1" w:rsidRPr="00ED7978" w:rsidRDefault="00F158F1" w:rsidP="006D359A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100 тыс. населения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формуле: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ДТП=Чп.Чн*100 000, где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Чп – Количество погибших в дорожно-транспортных происшествиях на территории г.о.Электросталь.</w:t>
            </w:r>
            <w:r w:rsidRPr="00ED7978">
              <w:rPr>
                <w:szCs w:val="18"/>
              </w:rPr>
              <w:br/>
              <w:t>Чн – численность населения городского округа Электросталь Московской области на начало отчетного года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Министерства внутренних дел Российской Федерации</w:t>
            </w:r>
          </w:p>
        </w:tc>
        <w:tc>
          <w:tcPr>
            <w:tcW w:w="1701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  <w:tr w:rsidR="00F158F1" w:rsidRPr="00ED7978" w:rsidTr="006D359A">
        <w:trPr>
          <w:trHeight w:val="253"/>
        </w:trPr>
        <w:tc>
          <w:tcPr>
            <w:tcW w:w="73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3.</w:t>
            </w:r>
          </w:p>
        </w:tc>
        <w:tc>
          <w:tcPr>
            <w:tcW w:w="3119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Показатель рассчитывается как отношение протяженности автомобильных дорог местного значения, соответствующих нормативным требованиям, (в километрах) к общей протяженности автомобильных дорог местного значения на территории г.о.Электросталь Московской области (в километрах), умноженное на 100%.</w:t>
            </w:r>
          </w:p>
        </w:tc>
        <w:tc>
          <w:tcPr>
            <w:tcW w:w="241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ОМСУ</w:t>
            </w:r>
          </w:p>
        </w:tc>
        <w:tc>
          <w:tcPr>
            <w:tcW w:w="1701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</w:tbl>
    <w:p w:rsidR="00F158F1" w:rsidRDefault="00F158F1" w:rsidP="00F158F1">
      <w:pPr>
        <w:pStyle w:val="ConsPlusNormal"/>
        <w:tabs>
          <w:tab w:val="left" w:pos="6084"/>
        </w:tabs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7</w:t>
      </w:r>
      <w:r w:rsidRPr="00243B1E">
        <w:t xml:space="preserve">. Методика определения результатов выполнения мероприятий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t>муниципальной программы городского округа Электросталь Московской области</w:t>
      </w:r>
      <w:r w:rsidRPr="00243B1E">
        <w:rPr>
          <w:bCs/>
        </w:rPr>
        <w:t xml:space="preserve"> 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260"/>
        <w:gridCol w:w="1276"/>
        <w:gridCol w:w="5528"/>
      </w:tblGrid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Pr="00ED7978">
              <w:rPr>
                <w:rFonts w:ascii="Times New Roman" w:hAnsi="Times New Roman" w:cs="Times New Roman"/>
                <w:szCs w:val="18"/>
              </w:rPr>
              <w:br/>
              <w:t>п/п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№ подпрограммы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мероприятия 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Наименование результата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Единица измерения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Порядок определения значений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7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eastAsiaTheme="minorEastAsia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Ср=Рдв*100%</w:t>
            </w:r>
          </w:p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Ср – процент соблюдения расписания на муниципальных маршрутах.</w:t>
            </w:r>
            <w:r w:rsidRPr="00ED7978">
              <w:rPr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</w:tr>
      <w:tr w:rsidR="00F158F1" w:rsidRPr="00ED7978" w:rsidTr="006D359A">
        <w:trPr>
          <w:trHeight w:val="155"/>
        </w:trPr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км/ м</w:t>
            </w:r>
            <w:r w:rsidRPr="00ED7978">
              <w:rPr>
                <w:szCs w:val="18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Определяется исходя из проектно-сметной документации по объектам, входящим в план капитального ремонта и ремонта автомобильных дорог общего пользования местного значения на соответствующий год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Cs w:val="18"/>
              </w:rPr>
            </w:pPr>
            <w:r w:rsidRPr="00ED7978">
              <w:rPr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шт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</w:tr>
      <w:tr w:rsidR="00F158F1" w:rsidRPr="00ED7978" w:rsidTr="006D359A">
        <w:tc>
          <w:tcPr>
            <w:tcW w:w="534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158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6D359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3260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1276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км</w:t>
            </w:r>
          </w:p>
        </w:tc>
        <w:tc>
          <w:tcPr>
            <w:tcW w:w="5528" w:type="dxa"/>
          </w:tcPr>
          <w:p w:rsidR="00F158F1" w:rsidRPr="00ED7978" w:rsidRDefault="00F158F1" w:rsidP="006D359A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 xml:space="preserve">Определяется исходя из </w:t>
            </w:r>
            <w:r>
              <w:rPr>
                <w:szCs w:val="18"/>
              </w:rPr>
              <w:t>нормативов содержания</w:t>
            </w:r>
            <w:r w:rsidRPr="00ED7978">
              <w:rPr>
                <w:szCs w:val="18"/>
              </w:rPr>
              <w:t xml:space="preserve"> автомобильных дорог общего пользования местного значения</w:t>
            </w:r>
          </w:p>
        </w:tc>
      </w:tr>
    </w:tbl>
    <w:p w:rsidR="00F158F1" w:rsidRDefault="00F158F1" w:rsidP="00F158F1">
      <w:pPr>
        <w:ind w:firstLine="709"/>
        <w:jc w:val="both"/>
      </w:pPr>
    </w:p>
    <w:sectPr w:rsidR="00F158F1" w:rsidSect="00F158F1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993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A8" w:rsidRDefault="00BB31A8" w:rsidP="00DA24D6">
      <w:r>
        <w:separator/>
      </w:r>
    </w:p>
  </w:endnote>
  <w:endnote w:type="continuationSeparator" w:id="0">
    <w:p w:rsidR="00BB31A8" w:rsidRDefault="00BB31A8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6A" w:rsidRDefault="004F4A6A" w:rsidP="006D359A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4F4A6A" w:rsidRDefault="004F4A6A" w:rsidP="006D359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6A" w:rsidRDefault="004F4A6A" w:rsidP="006D359A">
    <w:pPr>
      <w:pStyle w:val="ac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A8" w:rsidRDefault="00BB31A8" w:rsidP="00DA24D6">
      <w:r>
        <w:separator/>
      </w:r>
    </w:p>
  </w:footnote>
  <w:footnote w:type="continuationSeparator" w:id="0">
    <w:p w:rsidR="00BB31A8" w:rsidRDefault="00BB31A8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4F4A6A" w:rsidRDefault="001F6E2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4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A6A" w:rsidRDefault="004F4A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6A" w:rsidRDefault="004F4A6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44AB2">
      <w:rPr>
        <w:noProof/>
      </w:rPr>
      <w:t>7</w:t>
    </w:r>
    <w:r>
      <w:rPr>
        <w:noProof/>
      </w:rPr>
      <w:fldChar w:fldCharType="end"/>
    </w:r>
  </w:p>
  <w:p w:rsidR="004F4A6A" w:rsidRDefault="004F4A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43"/>
  </w:num>
  <w:num w:numId="5">
    <w:abstractNumId w:val="36"/>
  </w:num>
  <w:num w:numId="6">
    <w:abstractNumId w:val="1"/>
  </w:num>
  <w:num w:numId="7">
    <w:abstractNumId w:val="34"/>
  </w:num>
  <w:num w:numId="8">
    <w:abstractNumId w:val="11"/>
  </w:num>
  <w:num w:numId="9">
    <w:abstractNumId w:val="17"/>
  </w:num>
  <w:num w:numId="10">
    <w:abstractNumId w:val="46"/>
  </w:num>
  <w:num w:numId="11">
    <w:abstractNumId w:val="21"/>
  </w:num>
  <w:num w:numId="12">
    <w:abstractNumId w:val="29"/>
  </w:num>
  <w:num w:numId="13">
    <w:abstractNumId w:val="12"/>
  </w:num>
  <w:num w:numId="14">
    <w:abstractNumId w:val="15"/>
  </w:num>
  <w:num w:numId="15">
    <w:abstractNumId w:val="35"/>
  </w:num>
  <w:num w:numId="16">
    <w:abstractNumId w:val="5"/>
  </w:num>
  <w:num w:numId="17">
    <w:abstractNumId w:val="39"/>
  </w:num>
  <w:num w:numId="18">
    <w:abstractNumId w:val="6"/>
  </w:num>
  <w:num w:numId="19">
    <w:abstractNumId w:val="7"/>
  </w:num>
  <w:num w:numId="20">
    <w:abstractNumId w:val="20"/>
  </w:num>
  <w:num w:numId="21">
    <w:abstractNumId w:val="26"/>
  </w:num>
  <w:num w:numId="22">
    <w:abstractNumId w:val="18"/>
  </w:num>
  <w:num w:numId="23">
    <w:abstractNumId w:val="45"/>
  </w:num>
  <w:num w:numId="24">
    <w:abstractNumId w:val="30"/>
  </w:num>
  <w:num w:numId="25">
    <w:abstractNumId w:val="25"/>
  </w:num>
  <w:num w:numId="26">
    <w:abstractNumId w:val="31"/>
  </w:num>
  <w:num w:numId="27">
    <w:abstractNumId w:val="14"/>
  </w:num>
  <w:num w:numId="28">
    <w:abstractNumId w:val="42"/>
  </w:num>
  <w:num w:numId="29">
    <w:abstractNumId w:val="33"/>
  </w:num>
  <w:num w:numId="30">
    <w:abstractNumId w:val="16"/>
  </w:num>
  <w:num w:numId="31">
    <w:abstractNumId w:val="40"/>
  </w:num>
  <w:num w:numId="32">
    <w:abstractNumId w:val="9"/>
  </w:num>
  <w:num w:numId="33">
    <w:abstractNumId w:val="24"/>
  </w:num>
  <w:num w:numId="34">
    <w:abstractNumId w:val="0"/>
  </w:num>
  <w:num w:numId="35">
    <w:abstractNumId w:val="4"/>
  </w:num>
  <w:num w:numId="36">
    <w:abstractNumId w:val="2"/>
  </w:num>
  <w:num w:numId="37">
    <w:abstractNumId w:val="28"/>
  </w:num>
  <w:num w:numId="38">
    <w:abstractNumId w:val="10"/>
  </w:num>
  <w:num w:numId="39">
    <w:abstractNumId w:val="32"/>
  </w:num>
  <w:num w:numId="40">
    <w:abstractNumId w:val="3"/>
  </w:num>
  <w:num w:numId="41">
    <w:abstractNumId w:val="13"/>
  </w:num>
  <w:num w:numId="42">
    <w:abstractNumId w:val="8"/>
  </w:num>
  <w:num w:numId="43">
    <w:abstractNumId w:val="23"/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74F1"/>
    <w:rsid w:val="00067B44"/>
    <w:rsid w:val="000B4651"/>
    <w:rsid w:val="000C09A6"/>
    <w:rsid w:val="000F4FA3"/>
    <w:rsid w:val="00125556"/>
    <w:rsid w:val="00135D18"/>
    <w:rsid w:val="001459EA"/>
    <w:rsid w:val="001F6E28"/>
    <w:rsid w:val="00251CCB"/>
    <w:rsid w:val="00273625"/>
    <w:rsid w:val="002C2ABF"/>
    <w:rsid w:val="002C4E4E"/>
    <w:rsid w:val="002E1EF7"/>
    <w:rsid w:val="002E796F"/>
    <w:rsid w:val="00305243"/>
    <w:rsid w:val="003822A8"/>
    <w:rsid w:val="003B6483"/>
    <w:rsid w:val="003B6B44"/>
    <w:rsid w:val="003F1959"/>
    <w:rsid w:val="003F31D4"/>
    <w:rsid w:val="00403261"/>
    <w:rsid w:val="00491D93"/>
    <w:rsid w:val="004C0E0E"/>
    <w:rsid w:val="004F1750"/>
    <w:rsid w:val="004F4A6A"/>
    <w:rsid w:val="00504369"/>
    <w:rsid w:val="0050669D"/>
    <w:rsid w:val="00515EC2"/>
    <w:rsid w:val="00544AB2"/>
    <w:rsid w:val="0054705B"/>
    <w:rsid w:val="0058294C"/>
    <w:rsid w:val="005B3F8D"/>
    <w:rsid w:val="005B5B19"/>
    <w:rsid w:val="005C4441"/>
    <w:rsid w:val="005E5322"/>
    <w:rsid w:val="005E75CE"/>
    <w:rsid w:val="0061418B"/>
    <w:rsid w:val="00623A2C"/>
    <w:rsid w:val="00654D06"/>
    <w:rsid w:val="00696F84"/>
    <w:rsid w:val="006C61CD"/>
    <w:rsid w:val="006D359A"/>
    <w:rsid w:val="006E7E93"/>
    <w:rsid w:val="006F7B9A"/>
    <w:rsid w:val="007176D4"/>
    <w:rsid w:val="00720BA3"/>
    <w:rsid w:val="0072220D"/>
    <w:rsid w:val="00766ECA"/>
    <w:rsid w:val="00770635"/>
    <w:rsid w:val="00777141"/>
    <w:rsid w:val="00782CC7"/>
    <w:rsid w:val="0078517D"/>
    <w:rsid w:val="007C021B"/>
    <w:rsid w:val="007F698B"/>
    <w:rsid w:val="00845208"/>
    <w:rsid w:val="00861251"/>
    <w:rsid w:val="008754FD"/>
    <w:rsid w:val="008808E0"/>
    <w:rsid w:val="008855D4"/>
    <w:rsid w:val="008A05B2"/>
    <w:rsid w:val="008C2987"/>
    <w:rsid w:val="00916EC8"/>
    <w:rsid w:val="00931123"/>
    <w:rsid w:val="00931221"/>
    <w:rsid w:val="00935048"/>
    <w:rsid w:val="0095618F"/>
    <w:rsid w:val="00995BC2"/>
    <w:rsid w:val="009A19A1"/>
    <w:rsid w:val="009B3584"/>
    <w:rsid w:val="009C4F65"/>
    <w:rsid w:val="00A14E53"/>
    <w:rsid w:val="00A275B8"/>
    <w:rsid w:val="00A37D17"/>
    <w:rsid w:val="00A8176C"/>
    <w:rsid w:val="00AA2C4B"/>
    <w:rsid w:val="00AC4C04"/>
    <w:rsid w:val="00B22D32"/>
    <w:rsid w:val="00B75C77"/>
    <w:rsid w:val="00B86266"/>
    <w:rsid w:val="00B867A7"/>
    <w:rsid w:val="00BB31A8"/>
    <w:rsid w:val="00BC3EAD"/>
    <w:rsid w:val="00BC67EE"/>
    <w:rsid w:val="00BE5B75"/>
    <w:rsid w:val="00BE77D2"/>
    <w:rsid w:val="00BF6853"/>
    <w:rsid w:val="00C15259"/>
    <w:rsid w:val="00C51C8A"/>
    <w:rsid w:val="00CA6488"/>
    <w:rsid w:val="00CC48A6"/>
    <w:rsid w:val="00CD1A1A"/>
    <w:rsid w:val="00CD351A"/>
    <w:rsid w:val="00D30F2D"/>
    <w:rsid w:val="00D52A5D"/>
    <w:rsid w:val="00DA0872"/>
    <w:rsid w:val="00DA24D6"/>
    <w:rsid w:val="00DC35E4"/>
    <w:rsid w:val="00DD5777"/>
    <w:rsid w:val="00DF7C5F"/>
    <w:rsid w:val="00E22BB9"/>
    <w:rsid w:val="00E37BFF"/>
    <w:rsid w:val="00EB0892"/>
    <w:rsid w:val="00F13FAB"/>
    <w:rsid w:val="00F158F1"/>
    <w:rsid w:val="00F53D6B"/>
    <w:rsid w:val="00F67EB7"/>
    <w:rsid w:val="00F911DE"/>
    <w:rsid w:val="00FA7E6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922BA-7165-4542-B0D3-05977C04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qFormat/>
    <w:rsid w:val="00F158F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F158F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F158F1"/>
    <w:pPr>
      <w:spacing w:before="100" w:beforeAutospacing="1" w:after="100" w:afterAutospacing="1"/>
      <w:outlineLvl w:val="3"/>
    </w:pPr>
    <w:rPr>
      <w:rFonts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F158F1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1">
    <w:name w:val="Body Text Indent 2"/>
    <w:basedOn w:val="a"/>
    <w:link w:val="22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F158F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158F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158F1"/>
    <w:rPr>
      <w:b/>
      <w:bCs/>
    </w:rPr>
  </w:style>
  <w:style w:type="character" w:customStyle="1" w:styleId="50">
    <w:name w:val="Заголовок 5 Знак"/>
    <w:basedOn w:val="a0"/>
    <w:link w:val="5"/>
    <w:rsid w:val="00F158F1"/>
    <w:rPr>
      <w:b/>
      <w:bCs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F1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F158F1"/>
  </w:style>
  <w:style w:type="paragraph" w:styleId="af0">
    <w:name w:val="Normal (Web)"/>
    <w:basedOn w:val="a"/>
    <w:uiPriority w:val="99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158F1"/>
  </w:style>
  <w:style w:type="character" w:customStyle="1" w:styleId="editsection">
    <w:name w:val="editsection"/>
    <w:basedOn w:val="a0"/>
    <w:rsid w:val="00F158F1"/>
  </w:style>
  <w:style w:type="character" w:styleId="af1">
    <w:name w:val="FollowedHyperlink"/>
    <w:rsid w:val="00F158F1"/>
    <w:rPr>
      <w:color w:val="0000FF"/>
      <w:u w:val="single"/>
    </w:rPr>
  </w:style>
  <w:style w:type="character" w:customStyle="1" w:styleId="toctoggle">
    <w:name w:val="toctoggle"/>
    <w:basedOn w:val="a0"/>
    <w:rsid w:val="00F158F1"/>
  </w:style>
  <w:style w:type="character" w:customStyle="1" w:styleId="tocnumber">
    <w:name w:val="tocnumber"/>
    <w:basedOn w:val="a0"/>
    <w:rsid w:val="00F158F1"/>
  </w:style>
  <w:style w:type="character" w:customStyle="1" w:styleId="toctext">
    <w:name w:val="toctext"/>
    <w:basedOn w:val="a0"/>
    <w:rsid w:val="00F158F1"/>
  </w:style>
  <w:style w:type="character" w:customStyle="1" w:styleId="mw-headline">
    <w:name w:val="mw-headline"/>
    <w:basedOn w:val="a0"/>
    <w:rsid w:val="00F158F1"/>
  </w:style>
  <w:style w:type="character" w:styleId="af2">
    <w:name w:val="Strong"/>
    <w:qFormat/>
    <w:rsid w:val="00F158F1"/>
    <w:rPr>
      <w:b/>
      <w:bCs/>
    </w:rPr>
  </w:style>
  <w:style w:type="character" w:customStyle="1" w:styleId="style49">
    <w:name w:val="style49"/>
    <w:basedOn w:val="a0"/>
    <w:rsid w:val="00F158F1"/>
  </w:style>
  <w:style w:type="character" w:styleId="af3">
    <w:name w:val="Emphasis"/>
    <w:qFormat/>
    <w:rsid w:val="00F158F1"/>
    <w:rPr>
      <w:i/>
      <w:iCs/>
    </w:rPr>
  </w:style>
  <w:style w:type="paragraph" w:customStyle="1" w:styleId="style27">
    <w:name w:val="style27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F158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8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F158F1"/>
  </w:style>
  <w:style w:type="paragraph" w:customStyle="1" w:styleId="ConsPlusNonformat">
    <w:name w:val="ConsPlusNonformat"/>
    <w:uiPriority w:val="99"/>
    <w:rsid w:val="00F1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5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b">
    <w:name w:val="textb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p">
    <w:name w:val="textp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f4">
    <w:name w:val="Title"/>
    <w:basedOn w:val="a"/>
    <w:link w:val="af5"/>
    <w:qFormat/>
    <w:rsid w:val="00F158F1"/>
    <w:pPr>
      <w:jc w:val="center"/>
    </w:pPr>
    <w:rPr>
      <w:rFonts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F158F1"/>
    <w:rPr>
      <w:sz w:val="28"/>
    </w:rPr>
  </w:style>
  <w:style w:type="paragraph" w:customStyle="1" w:styleId="western">
    <w:name w:val="western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">
    <w:name w:val="p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F158F1"/>
  </w:style>
  <w:style w:type="paragraph" w:customStyle="1" w:styleId="p3">
    <w:name w:val="p3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4">
    <w:name w:val="p4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2">
    <w:name w:val="s2"/>
    <w:basedOn w:val="a0"/>
    <w:rsid w:val="00F158F1"/>
  </w:style>
  <w:style w:type="paragraph" w:customStyle="1" w:styleId="p5">
    <w:name w:val="p5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6">
    <w:name w:val="p6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a0"/>
    <w:rsid w:val="00F158F1"/>
  </w:style>
  <w:style w:type="paragraph" w:customStyle="1" w:styleId="p7">
    <w:name w:val="p7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9">
    <w:name w:val="p9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0">
    <w:name w:val="p10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1">
    <w:name w:val="p1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6">
    <w:name w:val="Прижатый влево"/>
    <w:basedOn w:val="a"/>
    <w:next w:val="a"/>
    <w:rsid w:val="00F158F1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character" w:customStyle="1" w:styleId="bbccolor">
    <w:name w:val="bbc_color"/>
    <w:basedOn w:val="a0"/>
    <w:rsid w:val="00F158F1"/>
  </w:style>
  <w:style w:type="character" w:customStyle="1" w:styleId="mw-editsectionmw-editsection-expanded">
    <w:name w:val="mw-editsection mw-editsection-expanded"/>
    <w:basedOn w:val="a0"/>
    <w:rsid w:val="00F158F1"/>
  </w:style>
  <w:style w:type="character" w:customStyle="1" w:styleId="mw-editsection-bracket">
    <w:name w:val="mw-editsection-bracket"/>
    <w:basedOn w:val="a0"/>
    <w:rsid w:val="00F158F1"/>
  </w:style>
  <w:style w:type="character" w:customStyle="1" w:styleId="mw-editsection-divider">
    <w:name w:val="mw-editsection-divider"/>
    <w:basedOn w:val="a0"/>
    <w:rsid w:val="00F158F1"/>
  </w:style>
  <w:style w:type="character" w:customStyle="1" w:styleId="p">
    <w:name w:val="p"/>
    <w:basedOn w:val="a0"/>
    <w:rsid w:val="00F158F1"/>
  </w:style>
  <w:style w:type="paragraph" w:customStyle="1" w:styleId="text">
    <w:name w:val="text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uiPriority w:val="99"/>
    <w:rsid w:val="00F158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7">
    <w:name w:val="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Без интервала1"/>
    <w:rsid w:val="00F158F1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8">
    <w:name w:val="No Spacing"/>
    <w:uiPriority w:val="99"/>
    <w:qFormat/>
    <w:rsid w:val="00F158F1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rsid w:val="00F1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aliases w:val="ТЗ список"/>
    <w:basedOn w:val="a"/>
    <w:link w:val="afa"/>
    <w:uiPriority w:val="34"/>
    <w:qFormat/>
    <w:rsid w:val="00F158F1"/>
    <w:pPr>
      <w:ind w:left="720"/>
      <w:contextualSpacing/>
    </w:pPr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58F1"/>
    <w:rPr>
      <w:rFonts w:ascii="Arial" w:hAnsi="Arial" w:cs="Arial"/>
    </w:rPr>
  </w:style>
  <w:style w:type="character" w:customStyle="1" w:styleId="submenu-table">
    <w:name w:val="submenu-table"/>
    <w:basedOn w:val="a0"/>
    <w:rsid w:val="00F158F1"/>
  </w:style>
  <w:style w:type="paragraph" w:customStyle="1" w:styleId="afb">
    <w:name w:val="Подпрограммы"/>
    <w:basedOn w:val="a"/>
    <w:link w:val="afc"/>
    <w:qFormat/>
    <w:rsid w:val="00F158F1"/>
    <w:pPr>
      <w:spacing w:after="200" w:line="276" w:lineRule="auto"/>
      <w:jc w:val="center"/>
    </w:pPr>
    <w:rPr>
      <w:rFonts w:eastAsia="Calibri" w:cs="Times New Roman"/>
      <w:sz w:val="32"/>
      <w:szCs w:val="32"/>
      <w:u w:val="single"/>
    </w:rPr>
  </w:style>
  <w:style w:type="character" w:customStyle="1" w:styleId="afc">
    <w:name w:val="Подпрограммы Знак"/>
    <w:link w:val="afb"/>
    <w:rsid w:val="00F158F1"/>
    <w:rPr>
      <w:rFonts w:eastAsia="Calibri"/>
      <w:sz w:val="32"/>
      <w:szCs w:val="32"/>
      <w:u w:val="single"/>
    </w:rPr>
  </w:style>
  <w:style w:type="paragraph" w:styleId="31">
    <w:name w:val="Body Text 3"/>
    <w:basedOn w:val="a"/>
    <w:link w:val="32"/>
    <w:rsid w:val="00F158F1"/>
    <w:pPr>
      <w:spacing w:after="120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F158F1"/>
    <w:rPr>
      <w:sz w:val="16"/>
      <w:szCs w:val="16"/>
      <w:lang w:eastAsia="en-US"/>
    </w:rPr>
  </w:style>
  <w:style w:type="paragraph" w:customStyle="1" w:styleId="0">
    <w:name w:val="0Абзац"/>
    <w:basedOn w:val="af0"/>
    <w:link w:val="00"/>
    <w:qFormat/>
    <w:rsid w:val="00F158F1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F158F1"/>
    <w:rPr>
      <w:color w:val="000000"/>
      <w:sz w:val="28"/>
    </w:rPr>
  </w:style>
  <w:style w:type="paragraph" w:styleId="afd">
    <w:name w:val="footnote text"/>
    <w:basedOn w:val="a"/>
    <w:link w:val="afe"/>
    <w:uiPriority w:val="99"/>
    <w:unhideWhenUsed/>
    <w:rsid w:val="00F158F1"/>
    <w:rPr>
      <w:rFonts w:eastAsia="Calibri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F158F1"/>
    <w:rPr>
      <w:rFonts w:eastAsia="Calibri"/>
      <w:lang w:eastAsia="en-US"/>
    </w:rPr>
  </w:style>
  <w:style w:type="character" w:styleId="aff">
    <w:name w:val="footnote reference"/>
    <w:uiPriority w:val="99"/>
    <w:unhideWhenUsed/>
    <w:rsid w:val="00F158F1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F158F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158F1"/>
    <w:rPr>
      <w:rFonts w:eastAsiaTheme="minorHAnsi" w:cstheme="minorBid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158F1"/>
    <w:rPr>
      <w:rFonts w:eastAsiaTheme="minorHAnsi" w:cstheme="minorBid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158F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158F1"/>
    <w:rPr>
      <w:rFonts w:eastAsiaTheme="minorHAnsi" w:cstheme="minorBidi"/>
      <w:b/>
      <w:bCs/>
      <w:lang w:eastAsia="en-US"/>
    </w:rPr>
  </w:style>
  <w:style w:type="paragraph" w:styleId="aff5">
    <w:name w:val="Document Map"/>
    <w:basedOn w:val="a"/>
    <w:link w:val="aff6"/>
    <w:uiPriority w:val="99"/>
    <w:semiHidden/>
    <w:unhideWhenUsed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158F1"/>
    <w:rPr>
      <w:sz w:val="24"/>
    </w:rPr>
  </w:style>
  <w:style w:type="character" w:customStyle="1" w:styleId="a4">
    <w:name w:val="Основной текст Знак"/>
    <w:basedOn w:val="a0"/>
    <w:link w:val="a3"/>
    <w:rsid w:val="00F158F1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F158F1"/>
    <w:rPr>
      <w:rFonts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158F1"/>
    <w:rPr>
      <w:bCs/>
      <w:sz w:val="24"/>
    </w:rPr>
  </w:style>
  <w:style w:type="paragraph" w:customStyle="1" w:styleId="ConsPlusDocList">
    <w:name w:val="ConsPlusDocList"/>
    <w:rsid w:val="00F158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8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8F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F158F1"/>
  </w:style>
  <w:style w:type="table" w:customStyle="1" w:styleId="23">
    <w:name w:val="Сетка таблицы2"/>
    <w:basedOn w:val="a1"/>
    <w:next w:val="ae"/>
    <w:uiPriority w:val="39"/>
    <w:rsid w:val="00F15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17</cp:revision>
  <cp:lastPrinted>2022-12-06T08:50:00Z</cp:lastPrinted>
  <dcterms:created xsi:type="dcterms:W3CDTF">2022-11-24T13:30:00Z</dcterms:created>
  <dcterms:modified xsi:type="dcterms:W3CDTF">2022-12-16T09:13:00Z</dcterms:modified>
</cp:coreProperties>
</file>