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80" w:rsidRDefault="00507180" w:rsidP="00507180">
      <w:pPr>
        <w:pStyle w:val="a4"/>
        <w:spacing w:after="0" w:line="276" w:lineRule="auto"/>
        <w:ind w:firstLine="850"/>
        <w:jc w:val="center"/>
      </w:pPr>
      <w:r>
        <w:t xml:space="preserve">Дайджест Министерства энергетики Московской области </w:t>
      </w:r>
    </w:p>
    <w:p w:rsidR="00507180" w:rsidRDefault="00507180" w:rsidP="00507180">
      <w:pPr>
        <w:pStyle w:val="a4"/>
        <w:spacing w:after="0" w:line="276" w:lineRule="auto"/>
        <w:ind w:firstLine="850"/>
        <w:jc w:val="center"/>
      </w:pPr>
      <w:r>
        <w:t>за период с 29 мая по 2 июня 2017</w:t>
      </w:r>
    </w:p>
    <w:p w:rsidR="00507180" w:rsidRDefault="00507180" w:rsidP="00507180">
      <w:pPr>
        <w:spacing w:line="360" w:lineRule="auto"/>
        <w:jc w:val="center"/>
        <w:rPr>
          <w:b/>
          <w:bCs/>
        </w:rPr>
      </w:pPr>
    </w:p>
    <w:p w:rsidR="00507180" w:rsidRDefault="00507180" w:rsidP="0050718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Открыт прием заявок на участие в конкурсах «Лучший объект топливозаправочного комплекса Московской области – 2017» и «Лучший по профессии топливозаправочного комплекса Московской области - 2017»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В период июль – август 2017 года на территории Московской области планируется проведение открытых конкурсов «Лучший объект топливозаправочного комплекса Московской области – 2017» и «Лучший по профессии топливозаправочного комплекса Московской  области - 2017».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 xml:space="preserve">Конкурсы проводятся в целях дальнейшего развития системы </w:t>
      </w:r>
      <w:proofErr w:type="spellStart"/>
      <w:r>
        <w:t>топливообеспечения</w:t>
      </w:r>
      <w:proofErr w:type="spellEnd"/>
      <w:r>
        <w:t>, применения альтернативных видов   моторного топлива, совершенствования инфраструктуры дорожного сервиса и повышения качества обслуживания потребителей на территории Московской области.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Организатором конкурсов выступает Московский межрегиональный нефтяной Союз.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 xml:space="preserve">Конкурс «Лучший объект топливозаправочного комплекса Московской области – 2017» проводится среди вертикально-интегрированных компаний и независимых операторов рынка нефтепродуктов, также предусмотрена номинация для </w:t>
      </w:r>
      <w:proofErr w:type="spellStart"/>
      <w:r>
        <w:t>автопредприятий</w:t>
      </w:r>
      <w:proofErr w:type="spellEnd"/>
      <w:r>
        <w:t xml:space="preserve"> по перевозке нефтепродуктов. 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Конкурс «Лучший по профессии топливозаправочного комплекса Московской  области -2017» включает номинации: лучший управляющий, лучший водитель бензовоза, лучший оператор и лучший механик.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Для проведения и подведения итогов конкурсов создается конкурсная комиссия с участием представителей федеральных и региональных министерств и ведомств.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Победители конкурса, занявшие первое место (победитель конкурса), второе и третье место (лауреаты конкурса), конкурсанты (дипломанты конкурса) по каждой номинации, награждаются дипломами и призами.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lastRenderedPageBreak/>
        <w:t>Подведение итогов конкурсов традиционно приурочено к ежегодному празднику – Дню нефтяной и газовой промышленности, который традиционно отмечается в первое воскресенье сентября.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По вопросам участия в конкурсах необходимо обращаться к организатору по телефону: 8(499)530-50-13, 8(916)119-60-73 и на адрес электронной почты: </w:t>
      </w:r>
      <w:hyperlink r:id="rId4" w:history="1">
        <w:r>
          <w:rPr>
            <w:rStyle w:val="a3"/>
            <w:rFonts w:eastAsia="opensans"/>
            <w:color w:val="F2A766"/>
            <w:szCs w:val="19"/>
            <w:shd w:val="clear" w:color="auto" w:fill="FFFFFF"/>
          </w:rPr>
          <w:t>mmns-no@yandex.ru</w:t>
        </w:r>
      </w:hyperlink>
      <w:r>
        <w:t>.</w:t>
      </w:r>
    </w:p>
    <w:p w:rsidR="00507180" w:rsidRDefault="00507180" w:rsidP="00507180">
      <w:pPr>
        <w:spacing w:line="360" w:lineRule="auto"/>
        <w:ind w:firstLineChars="292" w:firstLine="818"/>
        <w:jc w:val="both"/>
      </w:pPr>
    </w:p>
    <w:p w:rsidR="00507180" w:rsidRDefault="00507180" w:rsidP="00507180">
      <w:pPr>
        <w:spacing w:line="360" w:lineRule="auto"/>
        <w:ind w:firstLineChars="292" w:firstLine="821"/>
        <w:jc w:val="center"/>
        <w:rPr>
          <w:b/>
          <w:bCs/>
        </w:rPr>
      </w:pPr>
      <w:r>
        <w:rPr>
          <w:b/>
          <w:bCs/>
        </w:rPr>
        <w:t>Свыше 420 МВА трансформаторной мощности планируется ввести в Подмосковье к 2022 году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 xml:space="preserve">Министр энергетики Московской области Леонид </w:t>
      </w:r>
      <w:proofErr w:type="spellStart"/>
      <w:r>
        <w:t>Неганов</w:t>
      </w:r>
      <w:proofErr w:type="spellEnd"/>
      <w:r>
        <w:t xml:space="preserve"> сообщил, что в на территории Московской области в период 2018-2022 годов планируется ввод 424,7 МВА трансформаторной мощности и строительство 1 478,2 км линий электропередачи.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 xml:space="preserve">Заявленный объем работ будет выполнен в рамках инвестиционных программ 16 субъектов  электроэнергетики Московской области, планируемых к утверждению региональным министерством энергетики. Общий объем финансирования составит порядка 17 </w:t>
      </w:r>
      <w:proofErr w:type="spellStart"/>
      <w:r>
        <w:t>млрд</w:t>
      </w:r>
      <w:proofErr w:type="spellEnd"/>
      <w:r>
        <w:t xml:space="preserve"> руб.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Реализация инвестиционных программ повысит  надежность и качество электроснабжения потребителей, снизит аварийность и технологические потери в сетях. Также запланировано обновление парка спецтехники и спецоборудования.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Надо сказать, что инвестиционные программы были рассмотрены и одобрены Межотраслевым советом потребителей по вопросам деятельности субъектов естественных монополий при Губернаторе Московской области.</w:t>
      </w:r>
    </w:p>
    <w:p w:rsidR="00507180" w:rsidRDefault="00507180" w:rsidP="00507180">
      <w:pPr>
        <w:spacing w:line="360" w:lineRule="auto"/>
        <w:ind w:firstLineChars="292" w:firstLine="818"/>
        <w:jc w:val="both"/>
      </w:pPr>
    </w:p>
    <w:p w:rsidR="00507180" w:rsidRDefault="00507180" w:rsidP="00507180">
      <w:pPr>
        <w:spacing w:line="360" w:lineRule="auto"/>
        <w:ind w:firstLineChars="292" w:firstLine="821"/>
        <w:jc w:val="center"/>
      </w:pPr>
      <w:r>
        <w:rPr>
          <w:b/>
          <w:bCs/>
        </w:rPr>
        <w:t>Порядок оказания помощи в восстановлении энергоснабжения муниципалитетам и объединениям граждан, которые самостоятельно эксплуатируют внутреннее сетевое хозяйство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ПАО «МОЭСК» оказывает дополнительную помощь в восстановлении энергоснабжения муниципалитетам, СНТ (ДНТ), частным сетевым компаниям на абонентских участках электросетей, которые самостоятельно эксплуатируют внутреннее сетевое хозяйство.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lastRenderedPageBreak/>
        <w:t>Для данных целей в компании разработан порядок оказания таких услуг: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 xml:space="preserve">1. Ответственному за </w:t>
      </w:r>
      <w:proofErr w:type="spellStart"/>
      <w:r>
        <w:t>электросетевое</w:t>
      </w:r>
      <w:proofErr w:type="spellEnd"/>
      <w:r>
        <w:t xml:space="preserve"> хозяйство необходимо обратиться в соответствующий территориальному расположению район электрических сетей филиала ПАО "МОЭСК" с заявлением.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2. В заявлении необходимо указать: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- Адрес.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- ФИО и контактные данные руководителя.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 xml:space="preserve">- ФИО и контактные данные ответственного за эксплуатацию </w:t>
      </w:r>
      <w:proofErr w:type="spellStart"/>
      <w:r>
        <w:t>электросетевого</w:t>
      </w:r>
      <w:proofErr w:type="spellEnd"/>
      <w:r>
        <w:t xml:space="preserve"> хозяйства либо наименование и контактные данные подрядной организации, с которой заключен договор на данный вид работ.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- Текущие потребности.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- Подтверждение, что линии готовы к принятию напряжения. Безопасность людей обеспечена.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3. Если на линиях есть повреждения, то необходимо указать их характер.</w:t>
      </w:r>
    </w:p>
    <w:p w:rsidR="00507180" w:rsidRDefault="00507180" w:rsidP="00507180">
      <w:pPr>
        <w:spacing w:line="360" w:lineRule="auto"/>
        <w:ind w:firstLineChars="292" w:firstLine="818"/>
        <w:jc w:val="both"/>
      </w:pPr>
      <w:r>
        <w:t>4. Дополнительную информацию можно получить по телефону "Светлой линии" 8-800-700-40-70.</w:t>
      </w:r>
    </w:p>
    <w:p w:rsidR="00507180" w:rsidRDefault="00507180" w:rsidP="00507180">
      <w:pPr>
        <w:pStyle w:val="a4"/>
        <w:spacing w:after="0" w:line="276" w:lineRule="auto"/>
        <w:ind w:firstLine="850"/>
        <w:jc w:val="both"/>
      </w:pPr>
    </w:p>
    <w:p w:rsidR="00507180" w:rsidRDefault="00507180" w:rsidP="00507180">
      <w:pPr>
        <w:spacing w:line="360" w:lineRule="auto"/>
        <w:jc w:val="both"/>
      </w:pPr>
    </w:p>
    <w:p w:rsidR="00270412" w:rsidRDefault="00270412"/>
    <w:sectPr w:rsidR="00270412">
      <w:headerReference w:type="default" r:id="rId5"/>
      <w:headerReference w:type="first" r:id="rId6"/>
      <w:footnotePr>
        <w:pos w:val="beneathText"/>
      </w:footnotePr>
      <w:pgSz w:w="11906" w:h="16838"/>
      <w:pgMar w:top="851" w:right="567" w:bottom="567" w:left="1134" w:header="709" w:footer="720" w:gutter="0"/>
      <w:cols w:space="720"/>
      <w:docGrid w:linePitch="381" w:charSpace="-147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718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5071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71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/>
  <w:rsids>
    <w:rsidRoot w:val="00507180"/>
    <w:rsid w:val="00270412"/>
    <w:rsid w:val="00383E9B"/>
    <w:rsid w:val="00507180"/>
    <w:rsid w:val="007825C0"/>
    <w:rsid w:val="00E8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507180"/>
    <w:pPr>
      <w:suppressAutoHyphens/>
      <w:spacing w:after="0" w:line="276" w:lineRule="auto"/>
      <w:jc w:val="left"/>
    </w:pPr>
    <w:rPr>
      <w:rFonts w:ascii="Times New Roman" w:eastAsia="Calibri" w:hAnsi="Times New Roman" w:cs="Times New Roman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sid w:val="00507180"/>
    <w:rPr>
      <w:color w:val="0000FF"/>
      <w:u w:val="single"/>
    </w:rPr>
  </w:style>
  <w:style w:type="paragraph" w:styleId="a4">
    <w:name w:val="Body Text"/>
    <w:basedOn w:val="a"/>
    <w:link w:val="a5"/>
    <w:uiPriority w:val="67"/>
    <w:rsid w:val="0050718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67"/>
    <w:rsid w:val="00507180"/>
    <w:rPr>
      <w:rFonts w:ascii="Times New Roman" w:eastAsia="Calibri" w:hAnsi="Times New Roman" w:cs="Times New Roman"/>
      <w:kern w:val="1"/>
      <w:sz w:val="28"/>
    </w:rPr>
  </w:style>
  <w:style w:type="paragraph" w:styleId="a6">
    <w:name w:val="header"/>
    <w:basedOn w:val="a"/>
    <w:link w:val="a7"/>
    <w:uiPriority w:val="68"/>
    <w:rsid w:val="0050718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68"/>
    <w:rsid w:val="00507180"/>
    <w:rPr>
      <w:rFonts w:ascii="Times New Roman" w:eastAsia="Calibri" w:hAnsi="Times New Roman" w:cs="Times New Roman"/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mmns-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2017-06-08T07:00:00Z</dcterms:created>
  <dcterms:modified xsi:type="dcterms:W3CDTF">2017-06-08T07:05:00Z</dcterms:modified>
</cp:coreProperties>
</file>