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E8" w:rsidRPr="00894EA1" w:rsidRDefault="007257E8" w:rsidP="00894EA1">
      <w:pPr>
        <w:ind w:right="-2"/>
        <w:jc w:val="center"/>
        <w:rPr>
          <w:sz w:val="28"/>
          <w:szCs w:val="28"/>
        </w:rPr>
      </w:pPr>
      <w:r w:rsidRPr="00894EA1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7E8" w:rsidRPr="00894EA1" w:rsidRDefault="007257E8" w:rsidP="00894EA1">
      <w:pPr>
        <w:ind w:right="-2"/>
        <w:jc w:val="center"/>
        <w:rPr>
          <w:sz w:val="28"/>
          <w:szCs w:val="28"/>
        </w:rPr>
      </w:pPr>
    </w:p>
    <w:p w:rsidR="007257E8" w:rsidRPr="00894EA1" w:rsidRDefault="007257E8" w:rsidP="00894EA1">
      <w:pPr>
        <w:ind w:right="-2"/>
        <w:jc w:val="center"/>
        <w:rPr>
          <w:sz w:val="28"/>
          <w:szCs w:val="28"/>
        </w:rPr>
      </w:pPr>
      <w:r w:rsidRPr="00894EA1">
        <w:rPr>
          <w:sz w:val="28"/>
          <w:szCs w:val="28"/>
        </w:rPr>
        <w:t>АДМИНИСТРАЦИЯ</w:t>
      </w:r>
      <w:r w:rsidR="00894EA1">
        <w:rPr>
          <w:sz w:val="28"/>
          <w:szCs w:val="28"/>
        </w:rPr>
        <w:t xml:space="preserve"> </w:t>
      </w:r>
      <w:r w:rsidRPr="00894EA1">
        <w:rPr>
          <w:sz w:val="28"/>
          <w:szCs w:val="28"/>
        </w:rPr>
        <w:t>ГОРОДСКОГО ОКРУГА ЭЛЕКТРОСТАЛЬ</w:t>
      </w:r>
    </w:p>
    <w:p w:rsidR="007257E8" w:rsidRPr="00894EA1" w:rsidRDefault="007257E8" w:rsidP="00894EA1">
      <w:pPr>
        <w:ind w:right="-2"/>
        <w:jc w:val="center"/>
        <w:rPr>
          <w:sz w:val="28"/>
          <w:szCs w:val="28"/>
        </w:rPr>
      </w:pPr>
    </w:p>
    <w:p w:rsidR="007257E8" w:rsidRPr="00894EA1" w:rsidRDefault="00894EA1" w:rsidP="00894EA1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7257E8" w:rsidRPr="00894EA1">
        <w:rPr>
          <w:sz w:val="28"/>
          <w:szCs w:val="28"/>
        </w:rPr>
        <w:t>ОБЛАСТИ</w:t>
      </w:r>
    </w:p>
    <w:p w:rsidR="007257E8" w:rsidRPr="00894EA1" w:rsidRDefault="007257E8" w:rsidP="00894EA1">
      <w:pPr>
        <w:ind w:right="-2"/>
        <w:jc w:val="center"/>
        <w:rPr>
          <w:sz w:val="28"/>
          <w:szCs w:val="28"/>
        </w:rPr>
      </w:pPr>
    </w:p>
    <w:p w:rsidR="007257E8" w:rsidRPr="00894EA1" w:rsidRDefault="007257E8" w:rsidP="007257E8">
      <w:pPr>
        <w:ind w:right="-2"/>
        <w:jc w:val="center"/>
        <w:rPr>
          <w:sz w:val="44"/>
          <w:szCs w:val="44"/>
        </w:rPr>
      </w:pPr>
      <w:bookmarkStart w:id="0" w:name="_GoBack"/>
      <w:r w:rsidRPr="00894EA1">
        <w:rPr>
          <w:sz w:val="44"/>
          <w:szCs w:val="44"/>
        </w:rPr>
        <w:t>ПОСТАНОВЛЕНИЕ</w:t>
      </w:r>
    </w:p>
    <w:p w:rsidR="007257E8" w:rsidRPr="00894EA1" w:rsidRDefault="007257E8" w:rsidP="007257E8">
      <w:pPr>
        <w:ind w:right="-2"/>
        <w:jc w:val="center"/>
        <w:rPr>
          <w:sz w:val="44"/>
          <w:szCs w:val="44"/>
        </w:rPr>
      </w:pPr>
    </w:p>
    <w:p w:rsidR="00894EA1" w:rsidRDefault="00894EA1" w:rsidP="00894EA1">
      <w:pPr>
        <w:jc w:val="center"/>
      </w:pPr>
      <w:r w:rsidRPr="003954B0">
        <w:t>26.05.2021</w:t>
      </w:r>
      <w:r>
        <w:t xml:space="preserve"> </w:t>
      </w:r>
      <w:r w:rsidRPr="00026D8F">
        <w:t>№</w:t>
      </w:r>
      <w:r>
        <w:t xml:space="preserve"> </w:t>
      </w:r>
      <w:r>
        <w:t>408/5</w:t>
      </w:r>
    </w:p>
    <w:p w:rsidR="00F919F4" w:rsidRPr="002D3041" w:rsidRDefault="00F919F4" w:rsidP="002D3041">
      <w:pPr>
        <w:ind w:right="-1"/>
        <w:jc w:val="center"/>
        <w:rPr>
          <w:sz w:val="28"/>
          <w:szCs w:val="28"/>
        </w:rPr>
      </w:pPr>
    </w:p>
    <w:p w:rsidR="00DA3242" w:rsidRPr="00894EA1" w:rsidRDefault="00DA3242" w:rsidP="00894EA1">
      <w:pPr>
        <w:autoSpaceDE w:val="0"/>
        <w:autoSpaceDN w:val="0"/>
        <w:adjustRightInd w:val="0"/>
        <w:spacing w:line="240" w:lineRule="exact"/>
        <w:jc w:val="center"/>
      </w:pPr>
      <w:r w:rsidRPr="00A0197B">
        <w:t xml:space="preserve">О внесении изменений в муниципальную программу </w:t>
      </w:r>
      <w:r w:rsidRPr="00A0197B">
        <w:rPr>
          <w:rFonts w:cs="Times New Roman"/>
          <w:bCs/>
        </w:rPr>
        <w:t xml:space="preserve">городского округа Электросталь Московской области </w:t>
      </w:r>
      <w:r w:rsidRPr="00A0197B">
        <w:rPr>
          <w:rFonts w:cs="Times New Roman"/>
        </w:rPr>
        <w:t>«Управление имуществом и муниципальными финансами»</w:t>
      </w:r>
      <w:bookmarkEnd w:id="0"/>
    </w:p>
    <w:p w:rsidR="00DA3242" w:rsidRDefault="00DA3242" w:rsidP="00DA3242">
      <w:pPr>
        <w:autoSpaceDE w:val="0"/>
        <w:autoSpaceDN w:val="0"/>
        <w:adjustRightInd w:val="0"/>
        <w:rPr>
          <w:rFonts w:cs="Times New Roman"/>
        </w:rPr>
      </w:pPr>
    </w:p>
    <w:p w:rsidR="00894EA1" w:rsidRPr="008B6216" w:rsidRDefault="00894EA1" w:rsidP="00DA3242">
      <w:pPr>
        <w:autoSpaceDE w:val="0"/>
        <w:autoSpaceDN w:val="0"/>
        <w:adjustRightInd w:val="0"/>
        <w:rPr>
          <w:rFonts w:cs="Times New Roman"/>
        </w:rPr>
      </w:pPr>
    </w:p>
    <w:p w:rsidR="00DA3242" w:rsidRPr="008B6216" w:rsidRDefault="00DA3242" w:rsidP="00DA3242">
      <w:pPr>
        <w:ind w:firstLine="709"/>
        <w:jc w:val="both"/>
      </w:pPr>
      <w:r w:rsidRPr="008B6216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№651/8, </w:t>
      </w:r>
      <w:r w:rsidRPr="008B6216">
        <w:rPr>
          <w:rFonts w:cs="Times New Roman"/>
        </w:rPr>
        <w:t>решением Совета депутатов городского округа Электросталь Московской области от 17.12.2020 №25/8 «О бюджете городского округа  Электросталь Московской области на 2021 год и на плановый период 2022 и 2023 годов»</w:t>
      </w:r>
      <w:r w:rsidRPr="008B6216">
        <w:rPr>
          <w:kern w:val="16"/>
        </w:rPr>
        <w:t xml:space="preserve">, Администрация </w:t>
      </w:r>
      <w:r w:rsidRPr="008B6216">
        <w:t>городского округа Электросталь Московской области ПОСТАНОВЛЯЕТ:</w:t>
      </w:r>
    </w:p>
    <w:p w:rsidR="00DA3242" w:rsidRPr="008B6216" w:rsidRDefault="00DA3242" w:rsidP="00DA3242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1. Внести </w:t>
      </w:r>
      <w:hyperlink r:id="rId9" w:history="1">
        <w:r w:rsidRPr="008B6216">
          <w:rPr>
            <w:rFonts w:cs="Times New Roman"/>
          </w:rPr>
          <w:t>изменения</w:t>
        </w:r>
      </w:hyperlink>
      <w:r w:rsidRPr="008B6216">
        <w:rPr>
          <w:rFonts w:cs="Times New Roman"/>
        </w:rPr>
        <w:t xml:space="preserve"> в </w:t>
      </w:r>
      <w:r w:rsidRPr="008B6216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16.12.2019 №957/12 (в редакции постановлений Администрации городского округа Электросталь Московской области от 14.02.2020 №85/2, от 23.03.2020 №203/3, от 21.04.2020 №267/4, от 23.06.2020 №393/6, 15.10.2020 №684/10, 11.01.2021 №2/1</w:t>
      </w:r>
      <w:r>
        <w:t>, от 24.02.2021 №139/2</w:t>
      </w:r>
      <w:r w:rsidRPr="008B6216">
        <w:t xml:space="preserve">), </w:t>
      </w:r>
      <w:r w:rsidRPr="008B6216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DA3242" w:rsidRPr="008B6216" w:rsidRDefault="00DA3242" w:rsidP="00DA324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</w:t>
      </w:r>
      <w:r w:rsidRPr="008B6216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10" w:history="1">
        <w:r w:rsidRPr="008B6216">
          <w:rPr>
            <w:rStyle w:val="a9"/>
            <w:color w:val="auto"/>
            <w:u w:val="none"/>
          </w:rPr>
          <w:t>www.electrostal.ru</w:t>
        </w:r>
      </w:hyperlink>
      <w:r w:rsidRPr="008B6216">
        <w:t>.</w:t>
      </w:r>
    </w:p>
    <w:p w:rsidR="00DA3242" w:rsidRPr="008B6216" w:rsidRDefault="00DA3242" w:rsidP="00DA3242">
      <w:pPr>
        <w:autoSpaceDE w:val="0"/>
        <w:autoSpaceDN w:val="0"/>
        <w:adjustRightInd w:val="0"/>
        <w:ind w:firstLine="540"/>
        <w:jc w:val="both"/>
      </w:pPr>
      <w:r w:rsidRPr="008B6216">
        <w:rPr>
          <w:rFonts w:cs="Times New Roman"/>
        </w:rPr>
        <w:t xml:space="preserve">3. </w:t>
      </w:r>
      <w:r w:rsidRPr="008B6216">
        <w:t>Настоящее постановление вступает в силу на следующий день после его официального опубликования.</w:t>
      </w:r>
    </w:p>
    <w:p w:rsidR="00DA3242" w:rsidRPr="008B6216" w:rsidRDefault="00DA3242" w:rsidP="00DA3242">
      <w:pPr>
        <w:ind w:firstLine="540"/>
        <w:jc w:val="both"/>
      </w:pPr>
      <w:r w:rsidRPr="008B6216">
        <w:rPr>
          <w:rFonts w:cs="Times New Roman"/>
        </w:rPr>
        <w:t xml:space="preserve">4. 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</w:t>
      </w:r>
      <w:proofErr w:type="spellStart"/>
      <w:r w:rsidRPr="008B6216">
        <w:rPr>
          <w:rFonts w:cs="Times New Roman"/>
        </w:rPr>
        <w:t>Печникову</w:t>
      </w:r>
      <w:proofErr w:type="spellEnd"/>
      <w:r w:rsidRPr="008B6216">
        <w:rPr>
          <w:rFonts w:cs="Times New Roman"/>
        </w:rPr>
        <w:t xml:space="preserve"> О.В.</w:t>
      </w:r>
    </w:p>
    <w:p w:rsidR="00DA3242" w:rsidRDefault="00DA3242" w:rsidP="00DA3242">
      <w:pPr>
        <w:tabs>
          <w:tab w:val="center" w:pos="4677"/>
        </w:tabs>
        <w:jc w:val="both"/>
      </w:pPr>
    </w:p>
    <w:p w:rsidR="00DA3242" w:rsidRDefault="00DA3242" w:rsidP="00DA3242">
      <w:pPr>
        <w:tabs>
          <w:tab w:val="center" w:pos="4677"/>
        </w:tabs>
        <w:jc w:val="both"/>
      </w:pPr>
    </w:p>
    <w:p w:rsidR="00894EA1" w:rsidRDefault="00894EA1" w:rsidP="00DA3242">
      <w:pPr>
        <w:tabs>
          <w:tab w:val="center" w:pos="4677"/>
        </w:tabs>
        <w:jc w:val="both"/>
      </w:pPr>
    </w:p>
    <w:p w:rsidR="00894EA1" w:rsidRDefault="00894EA1" w:rsidP="00DA3242">
      <w:pPr>
        <w:tabs>
          <w:tab w:val="center" w:pos="4677"/>
        </w:tabs>
        <w:jc w:val="both"/>
      </w:pPr>
    </w:p>
    <w:p w:rsidR="00894EA1" w:rsidRDefault="00894EA1" w:rsidP="00DA3242">
      <w:pPr>
        <w:tabs>
          <w:tab w:val="center" w:pos="4677"/>
        </w:tabs>
        <w:jc w:val="both"/>
      </w:pPr>
    </w:p>
    <w:p w:rsidR="00DA3242" w:rsidRPr="008B6216" w:rsidRDefault="00DA3242" w:rsidP="00DA3242">
      <w:pPr>
        <w:tabs>
          <w:tab w:val="center" w:pos="4677"/>
        </w:tabs>
        <w:jc w:val="both"/>
      </w:pPr>
      <w:r w:rsidRPr="008B6216">
        <w:t xml:space="preserve">Глава городского округа                                                     </w:t>
      </w:r>
      <w:r w:rsidR="00894EA1">
        <w:t xml:space="preserve">        </w:t>
      </w:r>
      <w:r w:rsidRPr="008B6216">
        <w:t xml:space="preserve">                            И.Ю.</w:t>
      </w:r>
      <w:r w:rsidR="00894EA1">
        <w:t xml:space="preserve"> </w:t>
      </w:r>
      <w:r w:rsidRPr="008B6216">
        <w:t>Волкова</w:t>
      </w:r>
    </w:p>
    <w:p w:rsidR="00DA3242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DA3242" w:rsidRPr="00894EA1" w:rsidRDefault="00DA3242" w:rsidP="00DA3242">
      <w:pPr>
        <w:spacing w:line="192" w:lineRule="auto"/>
        <w:jc w:val="both"/>
        <w:rPr>
          <w:sz w:val="23"/>
          <w:szCs w:val="23"/>
        </w:rPr>
      </w:pPr>
    </w:p>
    <w:p w:rsidR="00122EED" w:rsidRPr="002D3041" w:rsidRDefault="00122EED" w:rsidP="00122EED">
      <w:pPr>
        <w:spacing w:line="192" w:lineRule="auto"/>
        <w:jc w:val="both"/>
        <w:rPr>
          <w:sz w:val="23"/>
          <w:szCs w:val="23"/>
        </w:rPr>
        <w:sectPr w:rsidR="00122EED" w:rsidRPr="002D3041" w:rsidSect="00894EA1">
          <w:headerReference w:type="default" r:id="rId11"/>
          <w:type w:val="continuous"/>
          <w:pgSz w:w="11906" w:h="16838" w:code="9"/>
          <w:pgMar w:top="1134" w:right="850" w:bottom="1134" w:left="1701" w:header="709" w:footer="119" w:gutter="0"/>
          <w:pgNumType w:start="1"/>
          <w:cols w:space="708"/>
          <w:titlePg/>
          <w:docGrid w:linePitch="360"/>
        </w:sect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lastRenderedPageBreak/>
        <w:t>Приложение</w:t>
      </w:r>
    </w:p>
    <w:p w:rsidR="002D3041" w:rsidRPr="008B6216" w:rsidRDefault="00EE55C3" w:rsidP="002D3041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EE55C3" w:rsidRPr="008B6216" w:rsidRDefault="00894EA1" w:rsidP="00EE55C3">
      <w:pPr>
        <w:ind w:left="9356"/>
        <w:outlineLvl w:val="0"/>
        <w:rPr>
          <w:rFonts w:cs="Times New Roman"/>
        </w:rPr>
      </w:pPr>
      <w:r w:rsidRPr="003954B0">
        <w:t>26.05.2021</w:t>
      </w:r>
      <w:r>
        <w:t xml:space="preserve"> </w:t>
      </w:r>
      <w:r w:rsidRPr="00026D8F">
        <w:t>№</w:t>
      </w:r>
      <w:r>
        <w:t xml:space="preserve"> 408/5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>«УТВЕРЖДЕНА</w:t>
      </w:r>
    </w:p>
    <w:p w:rsidR="00EE55C3" w:rsidRPr="008B6216" w:rsidRDefault="00EE55C3" w:rsidP="00EE55C3">
      <w:pPr>
        <w:tabs>
          <w:tab w:val="left" w:pos="851"/>
        </w:tabs>
        <w:ind w:left="9356"/>
        <w:rPr>
          <w:rFonts w:cs="Times New Roman"/>
        </w:rPr>
      </w:pPr>
      <w:r w:rsidRPr="008B6216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E066C" w:rsidRPr="008B6216" w:rsidRDefault="00EE55C3" w:rsidP="00EE55C3">
      <w:pPr>
        <w:ind w:left="9356"/>
        <w:outlineLvl w:val="0"/>
      </w:pPr>
      <w:r w:rsidRPr="008B6216">
        <w:rPr>
          <w:rFonts w:cs="Times New Roman"/>
        </w:rPr>
        <w:t xml:space="preserve">от 16.12.2019 № 957/12 </w:t>
      </w:r>
      <w:r w:rsidRPr="008B6216">
        <w:t>(в редакции постановлени</w:t>
      </w:r>
      <w:r w:rsidR="003E066C" w:rsidRPr="008B6216">
        <w:t>й</w:t>
      </w:r>
      <w:r w:rsidRPr="008B6216">
        <w:t xml:space="preserve"> Администрации городского округа Электросталь Московской области от 14.02.2020 №85/2</w:t>
      </w:r>
      <w:r w:rsidR="00AB75F9" w:rsidRPr="008B6216">
        <w:t xml:space="preserve">, </w:t>
      </w:r>
    </w:p>
    <w:p w:rsidR="0012410F" w:rsidRPr="008B6216" w:rsidRDefault="00372F9E" w:rsidP="00EE55C3">
      <w:pPr>
        <w:ind w:left="9356"/>
        <w:outlineLvl w:val="0"/>
      </w:pPr>
      <w:r w:rsidRPr="008B6216">
        <w:t xml:space="preserve">от </w:t>
      </w:r>
      <w:r w:rsidR="00AB75F9" w:rsidRPr="008B6216">
        <w:t>23.03.2020 №203/3</w:t>
      </w:r>
      <w:r w:rsidR="003E066C" w:rsidRPr="008B6216">
        <w:t>, от 21.04.2020 №267/4</w:t>
      </w:r>
      <w:r w:rsidR="00B6206B" w:rsidRPr="008B6216">
        <w:t>, от 23.06.2020 №393/6</w:t>
      </w:r>
      <w:r w:rsidR="007255E4" w:rsidRPr="008B6216">
        <w:t>, 15.10.2020 №684/10</w:t>
      </w:r>
      <w:r w:rsidR="0012410F" w:rsidRPr="008B6216">
        <w:t xml:space="preserve">, </w:t>
      </w:r>
    </w:p>
    <w:p w:rsidR="00EE55C3" w:rsidRPr="008B6216" w:rsidRDefault="0012410F" w:rsidP="00EE55C3">
      <w:pPr>
        <w:ind w:left="9356"/>
        <w:outlineLvl w:val="0"/>
        <w:rPr>
          <w:rFonts w:cs="Times New Roman"/>
        </w:rPr>
      </w:pPr>
      <w:r w:rsidRPr="008B6216">
        <w:t>11.01.2021 №2/1</w:t>
      </w:r>
      <w:r w:rsidR="00087B69">
        <w:t>, 24.02.2021 №139/2</w:t>
      </w:r>
      <w:r w:rsidR="00EE55C3" w:rsidRPr="008B6216">
        <w:t>)</w:t>
      </w:r>
    </w:p>
    <w:p w:rsidR="00EE55C3" w:rsidRPr="008B6216" w:rsidRDefault="00EE55C3" w:rsidP="00EE55C3">
      <w:pPr>
        <w:outlineLvl w:val="0"/>
        <w:rPr>
          <w:rFonts w:cs="Times New Roman"/>
        </w:rPr>
      </w:pP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jc w:val="center"/>
        <w:outlineLvl w:val="0"/>
        <w:rPr>
          <w:rFonts w:cs="Times New Roman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601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127"/>
        <w:gridCol w:w="1701"/>
        <w:gridCol w:w="1701"/>
        <w:gridCol w:w="1701"/>
        <w:gridCol w:w="1701"/>
        <w:gridCol w:w="1985"/>
      </w:tblGrid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</w:t>
            </w:r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E44B26" w:rsidRPr="008B6216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Экономическое управление Администрации городского округа Электросталь Московской области</w:t>
            </w: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916" w:type="dxa"/>
            <w:gridSpan w:val="6"/>
          </w:tcPr>
          <w:p w:rsidR="00093CA5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муниципального управления городского округа Электросталь Московской области</w:t>
            </w:r>
            <w:r w:rsidR="00093CA5" w:rsidRPr="008B62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сбалансированности и устойчивости бюджета городского округа, повышение качества и </w:t>
            </w:r>
            <w:r w:rsidRPr="008B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прозрачности управления муниципальными финансами.</w:t>
            </w:r>
          </w:p>
          <w:p w:rsidR="00093CA5" w:rsidRPr="008B6216" w:rsidRDefault="00093CA5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распоряжения имуществом, находящимся в распоряжении городского округа Электросталь Московской области.</w:t>
            </w:r>
          </w:p>
        </w:tc>
      </w:tr>
      <w:tr w:rsidR="00EE55C3" w:rsidRPr="008B6216" w:rsidTr="00EB6DE6">
        <w:tc>
          <w:tcPr>
            <w:tcW w:w="3685" w:type="dxa"/>
          </w:tcPr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 «Развитие имущественного комплекса»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III «Совершенствование муниципальной службы Московской области»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«Управление муниципальными финансами» 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V «Обеспечивающая </w:t>
            </w:r>
            <w:proofErr w:type="gramStart"/>
            <w:r w:rsidRPr="008B621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подпрограмма»   </w:t>
            </w:r>
            <w:proofErr w:type="gramEnd"/>
          </w:p>
        </w:tc>
      </w:tr>
      <w:tr w:rsidR="00EE55C3" w:rsidRPr="008B6216" w:rsidTr="00EB6DE6">
        <w:tc>
          <w:tcPr>
            <w:tcW w:w="3685" w:type="dxa"/>
            <w:vMerge w:val="restart"/>
          </w:tcPr>
          <w:p w:rsidR="00EE55C3" w:rsidRPr="008B6216" w:rsidRDefault="00EE55C3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EE55C3" w:rsidRPr="008B6216" w:rsidRDefault="00EE55C3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916" w:type="dxa"/>
            <w:gridSpan w:val="6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6216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EE55C3" w:rsidRPr="008B6216" w:rsidTr="00EB6DE6">
        <w:tc>
          <w:tcPr>
            <w:tcW w:w="3685" w:type="dxa"/>
            <w:vMerge/>
          </w:tcPr>
          <w:p w:rsidR="00EE55C3" w:rsidRPr="008B6216" w:rsidRDefault="00EE55C3" w:rsidP="00093CA5">
            <w:pPr>
              <w:ind w:firstLine="80"/>
              <w:rPr>
                <w:rFonts w:cs="Times New Roman"/>
              </w:rPr>
            </w:pPr>
          </w:p>
        </w:tc>
        <w:tc>
          <w:tcPr>
            <w:tcW w:w="2127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701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985" w:type="dxa"/>
          </w:tcPr>
          <w:p w:rsidR="00EE55C3" w:rsidRPr="007257E8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257E8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</w:tr>
      <w:tr w:rsidR="00F14F5E" w:rsidRPr="008B6216" w:rsidTr="00EB6DE6">
        <w:trPr>
          <w:trHeight w:val="834"/>
        </w:trPr>
        <w:tc>
          <w:tcPr>
            <w:tcW w:w="3685" w:type="dxa"/>
          </w:tcPr>
          <w:p w:rsidR="00F14F5E" w:rsidRPr="00EB08EE" w:rsidRDefault="00F14F5E" w:rsidP="00D94C25">
            <w:pPr>
              <w:rPr>
                <w:rFonts w:cs="Times New Roman"/>
              </w:rPr>
            </w:pPr>
            <w:r w:rsidRPr="00EB08EE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127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2</w:t>
            </w:r>
            <w:r w:rsidR="00CF1421">
              <w:rPr>
                <w:sz w:val="22"/>
                <w:szCs w:val="22"/>
              </w:rPr>
              <w:t> 292 293,6</w:t>
            </w:r>
          </w:p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4F5E" w:rsidRPr="003A1E45" w:rsidRDefault="00CF1421" w:rsidP="00DB3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493 382,3</w:t>
            </w:r>
          </w:p>
        </w:tc>
        <w:tc>
          <w:tcPr>
            <w:tcW w:w="1701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502 342,8</w:t>
            </w:r>
          </w:p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438 185,5</w:t>
            </w:r>
          </w:p>
        </w:tc>
        <w:tc>
          <w:tcPr>
            <w:tcW w:w="1701" w:type="dxa"/>
          </w:tcPr>
          <w:p w:rsidR="00F14F5E" w:rsidRPr="00EB08EE" w:rsidRDefault="00F14F5E" w:rsidP="00DB3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429 191,</w:t>
            </w:r>
            <w:r w:rsidR="00DB348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429 191,</w:t>
            </w:r>
            <w:r w:rsidR="00DB3488">
              <w:rPr>
                <w:sz w:val="22"/>
                <w:szCs w:val="22"/>
              </w:rPr>
              <w:t>5</w:t>
            </w:r>
          </w:p>
        </w:tc>
      </w:tr>
      <w:tr w:rsidR="00CF1421" w:rsidRPr="008B6216" w:rsidTr="00EB6DE6">
        <w:tc>
          <w:tcPr>
            <w:tcW w:w="3685" w:type="dxa"/>
          </w:tcPr>
          <w:p w:rsidR="00CF1421" w:rsidRPr="00EB08EE" w:rsidRDefault="00CF1421" w:rsidP="004101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127" w:type="dxa"/>
          </w:tcPr>
          <w:p w:rsidR="00CF1421" w:rsidRPr="00534DF7" w:rsidRDefault="00CF1421" w:rsidP="00CD11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19 821,0</w:t>
            </w:r>
          </w:p>
        </w:tc>
        <w:tc>
          <w:tcPr>
            <w:tcW w:w="1701" w:type="dxa"/>
          </w:tcPr>
          <w:p w:rsidR="00CF1421" w:rsidRPr="00534DF7" w:rsidRDefault="00CF1421" w:rsidP="00CD11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4077,0</w:t>
            </w:r>
          </w:p>
        </w:tc>
        <w:tc>
          <w:tcPr>
            <w:tcW w:w="1701" w:type="dxa"/>
          </w:tcPr>
          <w:p w:rsidR="00CF1421" w:rsidRPr="00534DF7" w:rsidRDefault="00CF1421" w:rsidP="00CD11C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701" w:type="dxa"/>
          </w:tcPr>
          <w:p w:rsidR="00CF1421" w:rsidRPr="00534DF7" w:rsidRDefault="00CF1421" w:rsidP="00CD11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701" w:type="dxa"/>
          </w:tcPr>
          <w:p w:rsidR="00CF1421" w:rsidRPr="00534DF7" w:rsidRDefault="00CF1421" w:rsidP="00CD11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985" w:type="dxa"/>
          </w:tcPr>
          <w:p w:rsidR="00CF1421" w:rsidRPr="00534DF7" w:rsidRDefault="00CF1421" w:rsidP="00CD11C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</w:tr>
      <w:tr w:rsidR="00F14F5E" w:rsidRPr="008B6216" w:rsidTr="00EB6DE6">
        <w:tc>
          <w:tcPr>
            <w:tcW w:w="3685" w:type="dxa"/>
          </w:tcPr>
          <w:p w:rsidR="00F14F5E" w:rsidRPr="00EB08EE" w:rsidRDefault="00F14F5E" w:rsidP="00093CA5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B08EE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127" w:type="dxa"/>
          </w:tcPr>
          <w:p w:rsidR="00F14F5E" w:rsidRPr="00EB08EE" w:rsidRDefault="00F14F5E" w:rsidP="00CF1421">
            <w:pPr>
              <w:jc w:val="center"/>
              <w:rPr>
                <w:sz w:val="22"/>
                <w:szCs w:val="22"/>
              </w:rPr>
            </w:pPr>
            <w:r w:rsidRPr="00EB08EE">
              <w:rPr>
                <w:sz w:val="22"/>
                <w:szCs w:val="22"/>
              </w:rPr>
              <w:t>2</w:t>
            </w:r>
            <w:r w:rsidR="00CF1421">
              <w:rPr>
                <w:sz w:val="22"/>
                <w:szCs w:val="22"/>
              </w:rPr>
              <w:t> 312 114,6</w:t>
            </w:r>
          </w:p>
        </w:tc>
        <w:tc>
          <w:tcPr>
            <w:tcW w:w="1701" w:type="dxa"/>
          </w:tcPr>
          <w:p w:rsidR="00F14F5E" w:rsidRPr="003A1E45" w:rsidRDefault="00CF1421" w:rsidP="00DB3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497 459,3</w:t>
            </w:r>
          </w:p>
        </w:tc>
        <w:tc>
          <w:tcPr>
            <w:tcW w:w="1701" w:type="dxa"/>
          </w:tcPr>
          <w:p w:rsidR="00F14F5E" w:rsidRPr="00EB08EE" w:rsidRDefault="00F14F5E" w:rsidP="00EB08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506 278,8</w:t>
            </w:r>
          </w:p>
        </w:tc>
        <w:tc>
          <w:tcPr>
            <w:tcW w:w="1701" w:type="dxa"/>
          </w:tcPr>
          <w:p w:rsidR="00F14F5E" w:rsidRPr="00EB08EE" w:rsidRDefault="00F14F5E" w:rsidP="00597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442 121,5</w:t>
            </w:r>
          </w:p>
        </w:tc>
        <w:tc>
          <w:tcPr>
            <w:tcW w:w="1701" w:type="dxa"/>
          </w:tcPr>
          <w:p w:rsidR="00F14F5E" w:rsidRPr="00EB08EE" w:rsidRDefault="00F14F5E" w:rsidP="00597D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433 127,</w:t>
            </w:r>
            <w:r w:rsidR="00DB3488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:rsidR="00F14F5E" w:rsidRPr="00EB08EE" w:rsidRDefault="00F14F5E" w:rsidP="00D94C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433 127,</w:t>
            </w:r>
            <w:r w:rsidR="00DB3488">
              <w:rPr>
                <w:sz w:val="22"/>
                <w:szCs w:val="22"/>
              </w:rPr>
              <w:t>5</w:t>
            </w:r>
          </w:p>
        </w:tc>
      </w:tr>
    </w:tbl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2. Общая характеристика сферы реализации муниципальной 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216">
        <w:rPr>
          <w:rFonts w:ascii="Times New Roman" w:eastAsiaTheme="minorHAnsi" w:hAnsi="Times New Roman" w:cs="Times New Roman"/>
          <w:sz w:val="24"/>
          <w:szCs w:val="24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EE55C3" w:rsidRPr="008B6216" w:rsidRDefault="00EE55C3" w:rsidP="00EE55C3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t>На перспективу до 2024 года определены основные направления совершенствования системы местного самоуправления городского округа Электросталь Московской области, которые в свою очередь задают приоритеты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lastRenderedPageBreak/>
        <w:t>В контексте общей цели в Российской Федерации на перспективу до 2024 года определены основные направления совершенствования системы государственного управления, которые в свою очередь задают приоритеты муниципальной политики в сфере управления имуществом и финансами.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В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EE55C3" w:rsidRPr="008B6216" w:rsidRDefault="00EE55C3" w:rsidP="00EE55C3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8B6216">
        <w:rPr>
          <w:rFonts w:cs="Times New Roman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имущественных отношений остаются актуальными вопросы: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определение (уточнение) категорий земель и видов разрешенного использования земельных участков;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выявление нарушений целевого использования земельных участков сельскохозяйственного назначения и земельных участков, предоставленных под жилищное строительство, и направления информации в налоговые органы для применения повышенных ставок налога.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сфере управления финансами городского округа Электросталь Московской области остаются нерешенными: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наличие просроченной кредиторской задолженности;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необходимость в реализации масштабных инфраструктурных проектов и социальных программ требует качественного увеличения доходов бюджета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для обеспечения сбалансированности социальной направленности бюджета городского округа Электросталь Московской области необходимы меры по сохранению высокой степени долговой устойчивости, экономически обоснованной заемной политики и поддержание высокого уровня кредитных рейтингов.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значительной мере на эффективность местного самоуправления управления влияет уровень профессиональной подготовки, повышения квалификации и профессиональных навыков муниципальных служащих.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современных условиях меняются требования, предъявляемые к муниципальной службе со стороны общества: она должна стать доступной, эффективной и прозрачной.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проблем, требующих решения в период с 2020 по 2024 год включительно, и задач в сфере управления имуществом и финансами. 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Комплексный подход к их решению в рамках муниципальной программы городского округа Электросталь Московской области «Управление имуществом и финансами» заключается в совершенствовании системы местного самоуправления городского округа Электросталь Московской области по приоритетным направлениям: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муниципального имущественного комплекса Московской области в качестве актива для решения целей и реализации проектов развития на территории городского округа;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- повышение качества управления муниципальными финансами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совершенствование системы муниципальной службы, обеспечение высокого уровня профессиональной подготовки и практических управленческих навыков муниципальных служащих, эффективности и результативности деятельности органов местного самоуправления городского округа Электросталь Московской области по решению поставленных целей во взаимодействии с гражданами и организациями.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 xml:space="preserve">3. Прогноз развития соответствующей сферы реализации 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t>муниципальной программы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программных мероприятий в период с 2020 по 2024 год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Основные риски, которые могут возникнуть при реализации муниципальной программы: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B6216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8B6216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государственной программы к 2024 году;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невыполнение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снижение объемов финансирования мероприятий муниципальной программы вследствие изменения прогнозируемых объемов доходов бюджета городского округа Электросталь Московской области или неполное предоставление средств из запланированных источников в соответствующих подпрограммах;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управления имуществом и финансами;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целях обеспечения управления рисками муниципальный заказчик муниципальной программы организует мониторинг реализации подпрограмм и на основе результатов мониторинга вносит необходимые предложения куратору муниципальной программы для принятия соответствующих решений, в том числе по корректировке параметров муниципальной программы.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городского округа Электросталь Московской области,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решений. На минимизацию наступления финансового риска направлены также меры в составе подпрограмм, определяющие изменение значений целевых показателей в зависимости от реализации отдельных мероприятий при снижении или увеличении объемов финансирования в пределах 5 процентов относительно общего объема запланированных в соответствующей подпрограмме финансовых средств на ее реализацию.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86777A" w:rsidRPr="008B6216" w:rsidRDefault="0086777A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4. Перечень подпрограмм и их краткое описание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A6209D">
        <w:rPr>
          <w:rFonts w:ascii="Times New Roman" w:hAnsi="Times New Roman" w:cs="Times New Roman"/>
          <w:sz w:val="24"/>
          <w:szCs w:val="24"/>
        </w:rPr>
        <w:t xml:space="preserve">показателей муниципальной программы </w:t>
      </w:r>
      <w:r w:rsidRPr="008B6216">
        <w:rPr>
          <w:rFonts w:ascii="Times New Roman" w:hAnsi="Times New Roman" w:cs="Times New Roman"/>
          <w:sz w:val="24"/>
          <w:szCs w:val="24"/>
        </w:rPr>
        <w:t>осуществляется посредством реализации четырех подпрограмм.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(Приложение №1 к муниципальной программе) направлена на повышение эффективности управления и распоряжения имуществом, находящимся в собственности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области»(Приложение №2 к муниципальной программе) направлена на повышение эффективности деятельности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Подпрограмма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 (Приложение №3 к муниципальной программе) направлена на достижение долгосрочной сбалансированности и устойчивости бюджетной системы городского округа Электросталь Московской области, создание условий для эффективного социально-экономического развития городского округа Электросталь Московской области и последовательного повышения уровня жизни населения города.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>Подпрограмма</w:t>
      </w:r>
      <w:proofErr w:type="gramStart"/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>«</w:t>
      </w:r>
      <w:proofErr w:type="gramEnd"/>
      <w:r w:rsidRPr="008B6216">
        <w:rPr>
          <w:rFonts w:cs="Times New Roman"/>
        </w:rPr>
        <w:t>Обеспечивающая подпрограмма» (Приложение №4 к муниципальной программе) направлена на повышение эффективности организационного, нормативного, правового и финансового обеспечения Администрации городского округа Электросталь Московской области, Комитета имущественных отношений Администрации городского округа Электросталь Московской области, финансового управления Администрации городского округа Электросталь Московской области, развития и укрепления материально-технической базы.</w:t>
      </w:r>
    </w:p>
    <w:p w:rsidR="00EE55C3" w:rsidRPr="008B6216" w:rsidRDefault="00EE55C3" w:rsidP="00EE55C3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5. Обобщенная характеристика основных мероприятий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с обоснованием необходимости их осуществления</w:t>
      </w:r>
    </w:p>
    <w:p w:rsidR="00EE55C3" w:rsidRPr="008B6216" w:rsidRDefault="00EE55C3" w:rsidP="00EE55C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Развитие имущественного комплекса»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управление имуществом, находящимся в муниципальной собственности городского округа Электросталь, и выполнение кадастровых работ;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создание условий для реализации полномочий в области земельных отношений.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Подпрограммой 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Совершенствование муниципальной службы Московской области»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организация профессионального развития муниципальных служащих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Подпрограммой</w:t>
      </w:r>
      <w:proofErr w:type="gramStart"/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6216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муниципальными финансами» предусматривается реализация следующих основных мероприятий: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проведение мероприятий в сфере формирования доходов местного бюджета;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 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области;</w:t>
      </w:r>
    </w:p>
    <w:p w:rsidR="00EE55C3" w:rsidRPr="008B6216" w:rsidRDefault="00EE55C3" w:rsidP="00EE55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tabs>
          <w:tab w:val="left" w:pos="851"/>
        </w:tabs>
        <w:ind w:firstLine="709"/>
        <w:jc w:val="both"/>
        <w:rPr>
          <w:rFonts w:cs="Times New Roman"/>
        </w:rPr>
      </w:pPr>
      <w:r w:rsidRPr="008B6216">
        <w:rPr>
          <w:rFonts w:cs="Times New Roman"/>
        </w:rPr>
        <w:t xml:space="preserve">Подпрограммой </w:t>
      </w:r>
      <w:r w:rsidRPr="008B6216">
        <w:rPr>
          <w:rFonts w:cs="Times New Roman"/>
          <w:lang w:val="en-US"/>
        </w:rPr>
        <w:t>V</w:t>
      </w:r>
      <w:r w:rsidRPr="008B6216">
        <w:rPr>
          <w:rFonts w:cs="Times New Roman"/>
        </w:rPr>
        <w:t xml:space="preserve"> «Обеспечивающая </w:t>
      </w:r>
      <w:proofErr w:type="spellStart"/>
      <w:proofErr w:type="gramStart"/>
      <w:r w:rsidRPr="008B6216">
        <w:rPr>
          <w:rFonts w:cs="Times New Roman"/>
        </w:rPr>
        <w:t>подпрограмма»предусматривается</w:t>
      </w:r>
      <w:proofErr w:type="spellEnd"/>
      <w:proofErr w:type="gramEnd"/>
      <w:r w:rsidRPr="008B6216">
        <w:rPr>
          <w:rFonts w:cs="Times New Roman"/>
        </w:rPr>
        <w:t xml:space="preserve"> реализация следующего основного мероприятия:</w:t>
      </w:r>
    </w:p>
    <w:p w:rsidR="00122EED" w:rsidRPr="008B6216" w:rsidRDefault="00EE55C3" w:rsidP="0086777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- создание условий для реализации полномочий органов местного самоуправления городского округа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Электросталь  Московской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122EED" w:rsidRPr="008B6216" w:rsidRDefault="00122EED">
      <w:pPr>
        <w:rPr>
          <w:rFonts w:cs="Times New Roman"/>
          <w:szCs w:val="20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A81C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</w:rPr>
        <w:lastRenderedPageBreak/>
        <w:t xml:space="preserve">6. </w:t>
      </w:r>
      <w:r w:rsidR="00A81CDF" w:rsidRPr="002618A2">
        <w:rPr>
          <w:rFonts w:ascii="Times New Roman" w:hAnsi="Times New Roman" w:cs="Times New Roman"/>
          <w:sz w:val="24"/>
          <w:szCs w:val="24"/>
        </w:rPr>
        <w:t>Показатели реализации муниципальной программы городского округа Электросталь Московской области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  <w:b/>
        </w:rPr>
      </w:pP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584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834"/>
        <w:gridCol w:w="1700"/>
        <w:gridCol w:w="1135"/>
        <w:gridCol w:w="1814"/>
        <w:gridCol w:w="1221"/>
        <w:gridCol w:w="1134"/>
        <w:gridCol w:w="1134"/>
        <w:gridCol w:w="1134"/>
        <w:gridCol w:w="1134"/>
        <w:gridCol w:w="2038"/>
      </w:tblGrid>
      <w:tr w:rsidR="00EE55C3" w:rsidRPr="008B6216" w:rsidTr="00EB6DE6">
        <w:tc>
          <w:tcPr>
            <w:tcW w:w="569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2834" w:type="dxa"/>
            <w:vMerge w:val="restart"/>
          </w:tcPr>
          <w:p w:rsidR="00EE55C3" w:rsidRPr="008B6216" w:rsidRDefault="00133D1B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618A2">
              <w:rPr>
                <w:rFonts w:ascii="Times New Roman" w:hAnsi="Times New Roman" w:cs="Times New Roman"/>
                <w:sz w:val="24"/>
                <w:szCs w:val="24"/>
              </w:rPr>
              <w:t>Показатели реализации муниципальной программы</w:t>
            </w:r>
          </w:p>
        </w:tc>
        <w:tc>
          <w:tcPr>
            <w:tcW w:w="1700" w:type="dxa"/>
            <w:vMerge w:val="restart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Тип показателя*</w:t>
            </w:r>
          </w:p>
        </w:tc>
        <w:tc>
          <w:tcPr>
            <w:tcW w:w="1135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814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Базовое значение </w:t>
            </w:r>
          </w:p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на начало реализации программы</w:t>
            </w:r>
          </w:p>
        </w:tc>
        <w:tc>
          <w:tcPr>
            <w:tcW w:w="5757" w:type="dxa"/>
            <w:gridSpan w:val="5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Планируемое значение показателя по годам реализации</w:t>
            </w:r>
          </w:p>
        </w:tc>
        <w:tc>
          <w:tcPr>
            <w:tcW w:w="2038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E55C3" w:rsidRPr="008B6216" w:rsidTr="00EB6DE6">
        <w:tc>
          <w:tcPr>
            <w:tcW w:w="569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283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700" w:type="dxa"/>
            <w:vMerge/>
          </w:tcPr>
          <w:p w:rsidR="00EE55C3" w:rsidRPr="008B6216" w:rsidRDefault="00EE55C3" w:rsidP="00EB6DE6">
            <w:pPr>
              <w:jc w:val="center"/>
              <w:rPr>
                <w:rFonts w:cs="Times New Roman"/>
              </w:rPr>
            </w:pPr>
          </w:p>
        </w:tc>
        <w:tc>
          <w:tcPr>
            <w:tcW w:w="1135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814" w:type="dxa"/>
            <w:vMerge/>
          </w:tcPr>
          <w:p w:rsidR="00EE55C3" w:rsidRPr="008B6216" w:rsidRDefault="00EE55C3" w:rsidP="00093CA5">
            <w:pPr>
              <w:rPr>
                <w:rFonts w:cs="Times New Roman"/>
              </w:rPr>
            </w:pP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038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700" w:type="dxa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3240" w:type="dxa"/>
            <w:gridSpan w:val="9"/>
          </w:tcPr>
          <w:p w:rsidR="00EE55C3" w:rsidRPr="008B6216" w:rsidRDefault="00EE55C3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«Развитие имущественного комплекса»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 xml:space="preserve">10.12.2020      </w:t>
            </w:r>
            <w:r w:rsidRPr="008B6216">
              <w:rPr>
                <w:rFonts w:cs="Times New Roman"/>
                <w:sz w:val="22"/>
                <w:szCs w:val="22"/>
              </w:rPr>
              <w:t xml:space="preserve"> №</w:t>
            </w:r>
            <w:r w:rsidR="00E47BD8" w:rsidRPr="008B6216">
              <w:rPr>
                <w:rFonts w:cs="Times New Roman"/>
                <w:sz w:val="22"/>
                <w:szCs w:val="22"/>
              </w:rPr>
              <w:t>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BE743F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1.3.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03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1.4.</w:t>
            </w:r>
          </w:p>
        </w:tc>
        <w:tc>
          <w:tcPr>
            <w:tcW w:w="2834" w:type="dxa"/>
          </w:tcPr>
          <w:p w:rsidR="00EE55C3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EastAsia" w:hAnsi="Times New Roman" w:cs="Times New Roman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Закон МО 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10.12.2020       №270/2</w:t>
            </w:r>
            <w:r w:rsidR="00F53B1F" w:rsidRPr="008B6216">
              <w:rPr>
                <w:rFonts w:ascii="Times New Roman" w:hAnsi="Times New Roman" w:cs="Times New Roman"/>
                <w:szCs w:val="22"/>
              </w:rPr>
              <w:t>0</w:t>
            </w:r>
            <w:r w:rsidR="00E47BD8" w:rsidRPr="008B6216">
              <w:rPr>
                <w:rFonts w:ascii="Times New Roman" w:hAnsi="Times New Roman" w:cs="Times New Roman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11293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1.5.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1700" w:type="dxa"/>
          </w:tcPr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0C728C" w:rsidRPr="008B6216" w:rsidRDefault="000C728C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0C728C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Закон МО 01.06.2011 № 73/2011-ОЗ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1.6.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Пост. Прав. МО 26.05.2016</w:t>
            </w: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№ 400/17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u w:val="single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700" w:type="dxa"/>
          </w:tcPr>
          <w:p w:rsidR="00EE55C3" w:rsidRPr="008B6216" w:rsidRDefault="00EE55C3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E55C3" w:rsidRPr="008B6216" w:rsidRDefault="00BD66E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lastRenderedPageBreak/>
              <w:t>1.8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Закон МО </w:t>
            </w:r>
            <w:r w:rsidR="00E47BD8" w:rsidRPr="008B6216">
              <w:rPr>
                <w:rFonts w:cs="Times New Roman"/>
                <w:sz w:val="22"/>
                <w:szCs w:val="22"/>
              </w:rPr>
              <w:t>10.12.2020       №270/2</w:t>
            </w:r>
            <w:r w:rsidR="00F53B1F" w:rsidRPr="008B6216">
              <w:rPr>
                <w:rFonts w:cs="Times New Roman"/>
                <w:sz w:val="22"/>
                <w:szCs w:val="22"/>
              </w:rPr>
              <w:t>0</w:t>
            </w:r>
            <w:r w:rsidR="00E47BD8" w:rsidRPr="008B6216">
              <w:rPr>
                <w:rFonts w:cs="Times New Roman"/>
                <w:sz w:val="22"/>
                <w:szCs w:val="22"/>
              </w:rPr>
              <w:t>20-ОЗ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1.9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pStyle w:val="ConsPlusNormal"/>
              <w:tabs>
                <w:tab w:val="left" w:pos="1139"/>
              </w:tabs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Доля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>объектов  недвижимого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  <w:lang w:eastAsia="en-US"/>
              </w:rPr>
              <w:t xml:space="preserve"> имущества, поставленных на кадастровый учет от выявленных земельных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участков с объектами без прав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Рейтинг-50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Распоряжение 65-р от 26.12.2017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5D7911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1221" w:type="dxa"/>
          </w:tcPr>
          <w:p w:rsidR="00EE55C3" w:rsidRPr="008B6216" w:rsidRDefault="00D61F9F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EE55C3" w:rsidRPr="008B6216" w:rsidRDefault="00112933" w:rsidP="00BD66E7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</w:t>
            </w:r>
            <w:r w:rsidR="00BD66E7" w:rsidRPr="008B621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EE55C3" w:rsidRPr="008B6216" w:rsidRDefault="0011293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EE55C3" w:rsidRPr="008B6216" w:rsidRDefault="0011293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EE55C3" w:rsidRPr="008B6216" w:rsidRDefault="0011293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</w:tc>
      </w:tr>
      <w:tr w:rsidR="00EE55C3" w:rsidRPr="008B6216" w:rsidTr="00EB6DE6">
        <w:tc>
          <w:tcPr>
            <w:tcW w:w="569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1.10</w:t>
            </w:r>
          </w:p>
        </w:tc>
        <w:tc>
          <w:tcPr>
            <w:tcW w:w="2834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Прирост земельного налога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  <w:p w:rsidR="00EE55C3" w:rsidRPr="008B6216" w:rsidRDefault="008A0D4F" w:rsidP="00EB6DE6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Указ Президента РФ от 28.04.2008   № 607</w:t>
            </w:r>
          </w:p>
        </w:tc>
        <w:tc>
          <w:tcPr>
            <w:tcW w:w="1135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81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221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EE55C3" w:rsidRPr="008B6216" w:rsidRDefault="00EE55C3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100</w:t>
            </w:r>
          </w:p>
        </w:tc>
        <w:tc>
          <w:tcPr>
            <w:tcW w:w="2038" w:type="dxa"/>
          </w:tcPr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07</w:t>
            </w:r>
          </w:p>
          <w:p w:rsidR="00EE55C3" w:rsidRPr="008B6216" w:rsidRDefault="00EE55C3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lang w:eastAsia="en-US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 w:rsidRPr="008B6216">
              <w:rPr>
                <w:rFonts w:cs="Times New Roman"/>
                <w:sz w:val="22"/>
                <w:szCs w:val="22"/>
                <w:lang w:eastAsia="en-US"/>
              </w:rPr>
              <w:t>1.11</w:t>
            </w:r>
          </w:p>
        </w:tc>
        <w:tc>
          <w:tcPr>
            <w:tcW w:w="2834" w:type="dxa"/>
          </w:tcPr>
          <w:p w:rsidR="00BE743F" w:rsidRPr="008B6216" w:rsidRDefault="00BE743F" w:rsidP="00FE35F6">
            <w:r w:rsidRPr="008B6216">
              <w:rPr>
                <w:rFonts w:eastAsiaTheme="minorEastAsia"/>
                <w:sz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Приоритетный целевой показатель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1134" w:type="dxa"/>
          </w:tcPr>
          <w:p w:rsidR="00BE743F" w:rsidRPr="008B6216" w:rsidRDefault="00BD66E7" w:rsidP="00FE35F6">
            <w:pPr>
              <w:jc w:val="center"/>
            </w:pPr>
            <w:r w:rsidRPr="008B6216">
              <w:rPr>
                <w:sz w:val="22"/>
              </w:rPr>
              <w:t>-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FE35F6">
            <w:pPr>
              <w:widowControl w:val="0"/>
              <w:suppressLineNumbers/>
              <w:suppressAutoHyphens/>
              <w:autoSpaceDE w:val="0"/>
              <w:autoSpaceDN w:val="0"/>
              <w:adjustRightInd w:val="0"/>
              <w:jc w:val="center"/>
            </w:pPr>
            <w:r w:rsidRPr="008B6216">
              <w:rPr>
                <w:sz w:val="22"/>
                <w:szCs w:val="22"/>
              </w:rPr>
              <w:t>1.12</w:t>
            </w:r>
          </w:p>
        </w:tc>
        <w:tc>
          <w:tcPr>
            <w:tcW w:w="2834" w:type="dxa"/>
          </w:tcPr>
          <w:p w:rsidR="00BE743F" w:rsidRPr="008B6216" w:rsidRDefault="0013717A" w:rsidP="00FE35F6">
            <w:r w:rsidRPr="008B6216">
              <w:rPr>
                <w:rFonts w:eastAsiaTheme="minorEastAsia"/>
                <w:sz w:val="22"/>
              </w:rPr>
              <w:t>Доля</w:t>
            </w:r>
            <w:r w:rsidR="00BE743F" w:rsidRPr="008B6216">
              <w:rPr>
                <w:rFonts w:eastAsiaTheme="minorEastAsia"/>
                <w:sz w:val="22"/>
              </w:rPr>
              <w:t xml:space="preserve"> проведенных аукционов на право </w:t>
            </w:r>
            <w:r w:rsidR="00BE743F" w:rsidRPr="008B6216">
              <w:rPr>
                <w:rFonts w:eastAsiaTheme="minorEastAsia"/>
                <w:sz w:val="22"/>
              </w:rPr>
              <w:lastRenderedPageBreak/>
              <w:t>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700" w:type="dxa"/>
          </w:tcPr>
          <w:p w:rsidR="008A0D4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 xml:space="preserve">Государственная программа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МО «Предпринимательство Подмосковья" на 2017-2024 годы»</w:t>
            </w:r>
          </w:p>
          <w:p w:rsidR="00BE743F" w:rsidRPr="008B6216" w:rsidRDefault="008A0D4F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5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lastRenderedPageBreak/>
              <w:t>%</w:t>
            </w:r>
          </w:p>
        </w:tc>
        <w:tc>
          <w:tcPr>
            <w:tcW w:w="181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0</w:t>
            </w:r>
          </w:p>
        </w:tc>
        <w:tc>
          <w:tcPr>
            <w:tcW w:w="1221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1134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</w:rPr>
              <w:t>20</w:t>
            </w:r>
          </w:p>
        </w:tc>
        <w:tc>
          <w:tcPr>
            <w:tcW w:w="2038" w:type="dxa"/>
          </w:tcPr>
          <w:p w:rsidR="00BE743F" w:rsidRPr="008B6216" w:rsidRDefault="00BE743F" w:rsidP="00FE35F6">
            <w:pPr>
              <w:jc w:val="center"/>
            </w:pPr>
            <w:r w:rsidRPr="008B6216">
              <w:rPr>
                <w:sz w:val="22"/>
                <w:szCs w:val="22"/>
              </w:rPr>
              <w:t>07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3240" w:type="dxa"/>
            <w:gridSpan w:val="9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III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«Совершенствование муниципальной службы </w:t>
            </w:r>
            <w:r w:rsidRPr="008B6216">
              <w:rPr>
                <w:rFonts w:ascii="Times New Roman" w:hAnsi="Times New Roman" w:cs="Times New Roman"/>
                <w:szCs w:val="24"/>
              </w:rPr>
              <w:t>Московской области</w:t>
            </w:r>
            <w:r w:rsidRPr="008B621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6777A" w:rsidRPr="008B6216" w:rsidRDefault="0086777A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03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13240" w:type="dxa"/>
            <w:gridSpan w:val="9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IV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«Управление муниципальными финансами»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3.1.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Снижение доли налоговой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5,0</w:t>
            </w:r>
          </w:p>
        </w:tc>
        <w:tc>
          <w:tcPr>
            <w:tcW w:w="1221" w:type="dxa"/>
          </w:tcPr>
          <w:p w:rsidR="00BE743F" w:rsidRPr="008B6216" w:rsidRDefault="00BE743F" w:rsidP="006E4FD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3,9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3,8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3,7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3,6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3.2.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</w:t>
            </w: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 xml:space="preserve">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lastRenderedPageBreak/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9,6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2,6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3,5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01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3.3.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 ) бюджета городского округа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 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</w:t>
            </w:r>
            <w:r w:rsidRPr="008B6216">
              <w:rPr>
                <w:rFonts w:ascii="Times New Roman" w:hAnsi="Times New Roman" w:cs="Times New Roman"/>
                <w:szCs w:val="22"/>
              </w:rPr>
              <w:t xml:space="preserve"> 50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E743F" w:rsidRPr="008B6216" w:rsidTr="00EB6DE6">
        <w:tc>
          <w:tcPr>
            <w:tcW w:w="569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3.4.</w:t>
            </w:r>
          </w:p>
        </w:tc>
        <w:tc>
          <w:tcPr>
            <w:tcW w:w="2834" w:type="dxa"/>
          </w:tcPr>
          <w:p w:rsidR="00BE743F" w:rsidRPr="008B6216" w:rsidRDefault="00BE743F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700" w:type="dxa"/>
          </w:tcPr>
          <w:p w:rsidR="00BE743F" w:rsidRPr="008B6216" w:rsidRDefault="00BE743F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Показатель муниципальной программы</w:t>
            </w:r>
          </w:p>
        </w:tc>
        <w:tc>
          <w:tcPr>
            <w:tcW w:w="1135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181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221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1134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&lt;= 5</w:t>
            </w:r>
          </w:p>
        </w:tc>
        <w:tc>
          <w:tcPr>
            <w:tcW w:w="2038" w:type="dxa"/>
          </w:tcPr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06</w:t>
            </w:r>
          </w:p>
          <w:p w:rsidR="00BE743F" w:rsidRPr="008B6216" w:rsidRDefault="00BE743F" w:rsidP="00093CA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spacing w:after="160" w:line="259" w:lineRule="auto"/>
        <w:jc w:val="center"/>
        <w:rPr>
          <w:rFonts w:cs="Times New Roman"/>
          <w:sz w:val="22"/>
        </w:rPr>
      </w:pPr>
      <w:r w:rsidRPr="008B6216">
        <w:rPr>
          <w:rFonts w:cs="Times New Roman"/>
          <w:sz w:val="22"/>
        </w:rPr>
        <w:br w:type="page"/>
      </w:r>
      <w:r w:rsidRPr="008B6216">
        <w:rPr>
          <w:rFonts w:cs="Times New Roman"/>
        </w:rPr>
        <w:lastRenderedPageBreak/>
        <w:t xml:space="preserve">7. Методика расчета значений </w:t>
      </w:r>
      <w:r w:rsidR="00A6209D">
        <w:rPr>
          <w:rFonts w:cs="Times New Roman"/>
        </w:rPr>
        <w:t>показателей</w:t>
      </w:r>
      <w:r w:rsidRPr="008B6216">
        <w:rPr>
          <w:rFonts w:cs="Times New Roman"/>
        </w:rPr>
        <w:t xml:space="preserve"> реализации муниципальной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680"/>
        <w:gridCol w:w="985"/>
        <w:gridCol w:w="5670"/>
        <w:gridCol w:w="2359"/>
        <w:gridCol w:w="1984"/>
      </w:tblGrid>
      <w:tr w:rsidR="004806E1" w:rsidRPr="00FD661D" w:rsidTr="00543148">
        <w:trPr>
          <w:trHeight w:val="759"/>
        </w:trPr>
        <w:tc>
          <w:tcPr>
            <w:tcW w:w="693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680" w:type="dxa"/>
          </w:tcPr>
          <w:p w:rsidR="004806E1" w:rsidRPr="00FD661D" w:rsidRDefault="00EB6DE6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Показатели реализации муниципальной программы</w:t>
            </w:r>
          </w:p>
        </w:tc>
        <w:tc>
          <w:tcPr>
            <w:tcW w:w="985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670" w:type="dxa"/>
          </w:tcPr>
          <w:p w:rsidR="004806E1" w:rsidRPr="00FD661D" w:rsidRDefault="004806E1" w:rsidP="004806E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359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  <w:tc>
          <w:tcPr>
            <w:tcW w:w="1984" w:type="dxa"/>
          </w:tcPr>
          <w:p w:rsidR="004806E1" w:rsidRPr="00FD661D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FD661D">
              <w:rPr>
                <w:rFonts w:cs="Times New Roman"/>
                <w:sz w:val="22"/>
                <w:szCs w:val="22"/>
              </w:rPr>
              <w:t>Период предоставления отчетности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6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8B6216">
              <w:rPr>
                <w:rFonts w:ascii="Times New Roman" w:hAnsi="Times New Roman" w:cs="Times New Roman"/>
                <w:szCs w:val="22"/>
              </w:rPr>
              <w:t>«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</w:rPr>
              <w:t>Развитие имущественного комплекса»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1.1.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t>%</w:t>
            </w:r>
          </w:p>
        </w:tc>
        <w:tc>
          <w:tcPr>
            <w:tcW w:w="5670" w:type="dxa"/>
          </w:tcPr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F21423" w:rsidRPr="008B6216" w:rsidRDefault="00F21423" w:rsidP="00F21423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F21423" w:rsidRPr="008B6216" w:rsidRDefault="00F21423" w:rsidP="00F21423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 - % принятых мер, который рассчитывается по формуле: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К1 – понижающий коэффициент 0,1.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F21423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F21423" w:rsidRPr="008B6216" w:rsidRDefault="00F21423" w:rsidP="00F21423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В мерах по взысканию задолженности не должны учитываться суммы исковых требований о досрочном внесении арендатором арендной платы согласно п. 5 ст.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F21423" w:rsidRPr="008B6216" w:rsidRDefault="00F21423" w:rsidP="00F21423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F21423" w:rsidRPr="008B6216" w:rsidRDefault="00F21423" w:rsidP="00F21423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F21423" w:rsidP="00F21423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Ежемесячно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EC7EC7" w:rsidRPr="008B6216" w:rsidRDefault="00EC7EC7" w:rsidP="00EC7EC7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СЗ = Пир + Д, где</w:t>
            </w:r>
          </w:p>
          <w:p w:rsidR="00EC7EC7" w:rsidRPr="008B6216" w:rsidRDefault="00EC7EC7" w:rsidP="00EC7EC7">
            <w:pPr>
              <w:pStyle w:val="af1"/>
              <w:ind w:left="1559"/>
              <w:jc w:val="center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СЗ.</m:t>
              </m:r>
            </m:oMath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Пир - % принятых мер, который рассчитывается по </w:t>
            </w:r>
            <w:r w:rsidRPr="008B6216">
              <w:rPr>
                <w:rFonts w:ascii="Times New Roman" w:hAnsi="Times New Roman"/>
              </w:rPr>
              <w:lastRenderedPageBreak/>
              <w:t>формуле: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направлена досудебная претензия.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К1 – понижающий коэффициент 0,1.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подано исковое заявление о взыскании задолженности;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исковое заявление о взыскании задолженности находится на рассмотрении в суде.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К2 – понижающий коэффициент 0,5.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исполнительный лист направлен в Федеральную службу судебных приставов;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ведется исполнительное производство;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исполнительное производство окончено ввиду невозможности взыскания;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рассматривается дело о несостоятельности (банкротстве).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</w:t>
            </w:r>
            <w:r w:rsidRPr="008B6216">
              <w:rPr>
                <w:rFonts w:ascii="Times New Roman" w:hAnsi="Times New Roman"/>
              </w:rPr>
              <w:lastRenderedPageBreak/>
              <w:t xml:space="preserve">принятых мерах отображается только неоплаченная часть. </w:t>
            </w:r>
          </w:p>
          <w:p w:rsidR="00EC7EC7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EC7EC7" w:rsidRPr="008B6216" w:rsidRDefault="00EC7EC7" w:rsidP="00EC7EC7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 - % роста/снижения задолженности, который рассчитывается по формуле:</w:t>
            </w:r>
          </w:p>
          <w:p w:rsidR="00EC7EC7" w:rsidRPr="008B6216" w:rsidRDefault="00EC7EC7" w:rsidP="00EC7EC7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 xml:space="preserve"> 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:rsidR="00EC7EC7" w:rsidRPr="008B6216" w:rsidRDefault="00EC7EC7" w:rsidP="00EC7EC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Зод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4806E1" w:rsidRPr="008B6216" w:rsidRDefault="00EC7EC7" w:rsidP="00EC7EC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Знг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общая сумма задолженности по состоянию на 01 число отчетного года.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1.3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  <w:sz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lastRenderedPageBreak/>
              <w:t>– доходы от продажи земельных участков, государственная собственность на которые не разграничена;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Cs w:val="28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sz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При расчете учитываются следующие источники доходов: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доходы, получаемые в виде арендной платы за муниципальное имущество и землю;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доходы от продажи муниципального имущества и земли;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осуществляется по следующей формуле:</w:t>
            </w:r>
          </w:p>
          <w:p w:rsidR="00126E97" w:rsidRPr="008B6216" w:rsidRDefault="00126E97" w:rsidP="00126E97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 xml:space="preserve">, где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Дп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      </w:r>
          </w:p>
          <w:p w:rsidR="00126E97" w:rsidRPr="008B6216" w:rsidRDefault="00126E97" w:rsidP="00126E97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Дф</w:t>
            </w:r>
            <w:proofErr w:type="spellEnd"/>
            <w:r w:rsidRPr="008B6216">
              <w:rPr>
                <w:rFonts w:ascii="Times New Roman" w:hAnsi="Times New Roman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Статистические источники – данные органов местного самоуправления, внесенные в Подсистему «Ведомственная отчетность ЦИОГВ, ГО Московской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области» Государственной автоматизированной информационной системы «Управление», Министерство экономики и финансов Московской области.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</w:p>
        </w:tc>
        <w:tc>
          <w:tcPr>
            <w:tcW w:w="2359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4806E1" w:rsidP="00585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1.5.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Предоставление земельных участков многодетным семьям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рассчитывается по следующей формуле:</w:t>
            </w:r>
          </w:p>
          <w:p w:rsidR="00126E97" w:rsidRPr="008B6216" w:rsidRDefault="00126E97" w:rsidP="00126E97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МС – % исполнения показателя «Предоставление земельных участков многодетным семьям».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Кс - количество многодетных семей, состоящих на учете многодетных семей, признанных нуждающимися в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обеспечении землей.</w:t>
            </w:r>
          </w:p>
          <w:p w:rsidR="00126E97" w:rsidRPr="008B6216" w:rsidRDefault="00126E97" w:rsidP="00126E97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4806E1" w:rsidRPr="008B6216" w:rsidRDefault="00126E97" w:rsidP="00126E97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Плановое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значение  –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100%.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Ежемесячно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1.6.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Проверка использования земель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Исполнение показателя вычисляется, исходя из выполнения плана по: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- осмотрам земель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- проверкам земель </w:t>
            </w:r>
            <w:proofErr w:type="spellStart"/>
            <w:r w:rsidRPr="008B6216">
              <w:rPr>
                <w:rFonts w:ascii="Times New Roman" w:hAnsi="Times New Roman"/>
              </w:rPr>
              <w:t>сельхозназначения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и иных категорий;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вовлечению в оборот неиспользуемых сельхозземель;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- наложенным штрафам.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Расчет показателя «проверка использования земель» осуществляется по следующей формуле: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Пз=СХ*0,6+ИК*0,4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612CEB" w:rsidRPr="008B6216" w:rsidRDefault="00612CEB" w:rsidP="00612CEB">
            <w:pPr>
              <w:pStyle w:val="af1"/>
              <w:ind w:left="1560"/>
              <w:jc w:val="both"/>
              <w:rPr>
                <w:rFonts w:ascii="Times New Roman" w:hAnsi="Times New Roman"/>
              </w:rPr>
            </w:pP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Пз</w:t>
            </w:r>
            <w:proofErr w:type="spellEnd"/>
            <w:r w:rsidRPr="008B6216">
              <w:rPr>
                <w:rFonts w:ascii="Times New Roman" w:hAnsi="Times New Roman"/>
              </w:rPr>
              <w:t xml:space="preserve"> – показатель «Проверка использования земель» (%). 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0,6 и 0,4 – веса, присвоенные категориям земель из </w:t>
            </w:r>
            <w:r w:rsidRPr="008B6216">
              <w:rPr>
                <w:rFonts w:ascii="Times New Roman" w:hAnsi="Times New Roman"/>
              </w:rPr>
              <w:lastRenderedPageBreak/>
              <w:t>расчета приоритета по осуществлению мероприятий в отношении земель различных категорий.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сельхозземель (СХ) осуществляется по следующей формуле: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СХ=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СХпр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*0,5+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 xml:space="preserve">В 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shd w:val="clear" w:color="auto" w:fill="FFFFFF"/>
              <w:ind w:left="10"/>
              <w:jc w:val="center"/>
              <w:rPr>
                <w:rFonts w:cs="Times New Roman"/>
                <w:sz w:val="22"/>
                <w:szCs w:val="22"/>
              </w:rPr>
            </w:pPr>
          </w:p>
          <w:p w:rsidR="00612CEB" w:rsidRPr="008B6216" w:rsidRDefault="00612CEB" w:rsidP="00612CEB">
            <w:pPr>
              <w:shd w:val="clear" w:color="auto" w:fill="FFFFFF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СХ – процентное исполнение показателя по проверкам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>, включая арендованные земли.</w:t>
            </w:r>
          </w:p>
          <w:p w:rsidR="00612CEB" w:rsidRPr="008B6216" w:rsidRDefault="00612CEB" w:rsidP="00612CEB">
            <w:pPr>
              <w:tabs>
                <w:tab w:val="right" w:pos="9922"/>
              </w:tabs>
              <w:ind w:left="1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СХпр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</w:t>
            </w:r>
            <w:proofErr w:type="spellStart"/>
            <w:r w:rsidRPr="008B6216">
              <w:rPr>
                <w:rFonts w:cs="Times New Roman"/>
                <w:sz w:val="22"/>
                <w:szCs w:val="22"/>
              </w:rPr>
              <w:t>сельхозназначения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для проверок.</w:t>
            </w:r>
            <w:r w:rsidRPr="008B6216">
              <w:rPr>
                <w:rFonts w:cs="Times New Roman"/>
                <w:sz w:val="22"/>
                <w:szCs w:val="22"/>
              </w:rPr>
              <w:tab/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В – вовлечение в оборот неиспользуемых сельхозземель.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612CEB" w:rsidRPr="008B6216" w:rsidRDefault="00612CEB" w:rsidP="00612CEB">
            <w:pPr>
              <w:shd w:val="clear" w:color="auto" w:fill="FFFFFF"/>
              <w:spacing w:after="240"/>
              <w:ind w:left="10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процентного исполнения показателя по проверкам земель иных категорий (ИК) осуществляется по следующей формуле:</w:t>
            </w:r>
          </w:p>
          <w:p w:rsidR="00612CEB" w:rsidRPr="008B6216" w:rsidRDefault="00612CEB" w:rsidP="00612CEB">
            <w:pPr>
              <w:spacing w:after="240"/>
              <w:ind w:right="-143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ИК=</m:t>
              </m:r>
              <m:d>
                <m:d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ИКосм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*0,3+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факт</m:t>
                          </m:r>
                        </m:e>
                      </m:d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ИКпр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2"/>
                              <w:szCs w:val="22"/>
                            </w:rPr>
                            <m:t>план</m:t>
                          </m:r>
                        </m:e>
                      </m:d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*0,6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*100%+Ш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ИК – процентное исполнение показателя по проверкам земель иных категорий.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ИКосм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осмотров земельных участков иных категорий, включая арендованные земли.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ИКпр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количество участков иных категорий для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проверок.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      </w:r>
          </w:p>
          <w:p w:rsidR="00612CEB" w:rsidRPr="008B6216" w:rsidRDefault="00612CEB" w:rsidP="00612CEB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4806E1" w:rsidRPr="008B6216" w:rsidRDefault="00612CEB" w:rsidP="00612CEB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      </w:r>
          </w:p>
        </w:tc>
        <w:tc>
          <w:tcPr>
            <w:tcW w:w="2359" w:type="dxa"/>
          </w:tcPr>
          <w:p w:rsidR="00AA1047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 xml:space="preserve">Система ГАС «Управление», 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ЕГИС ОКНД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Ежемесячно</w:t>
            </w:r>
          </w:p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Рейтингование</w:t>
            </w:r>
            <w:proofErr w:type="spellEnd"/>
            <w:r w:rsidRPr="008B6216">
              <w:rPr>
                <w:rFonts w:ascii="Times New Roman" w:hAnsi="Times New Roman"/>
              </w:rPr>
              <w:t xml:space="preserve">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Расчет показателя «доля государственных и муниципальных услуг в области земельных отношений, </w:t>
            </w:r>
            <w:r w:rsidRPr="008B6216">
              <w:rPr>
                <w:rFonts w:ascii="Times New Roman" w:hAnsi="Times New Roman"/>
              </w:rPr>
              <w:lastRenderedPageBreak/>
              <w:t>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      </w:r>
          </w:p>
          <w:p w:rsidR="004806E1" w:rsidRPr="008B6216" w:rsidRDefault="004806E1" w:rsidP="004D0F49">
            <w:pPr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КЗп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ОКЗ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 xml:space="preserve">, где 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 – Доля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КЗп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заявлений, предоставленных без нарушения срока;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ОКЗ – общее количество заявлений, предоставленных ОМС, нарастающим итогом за отчетный период.</w:t>
            </w:r>
          </w:p>
          <w:p w:rsidR="004806E1" w:rsidRPr="008B6216" w:rsidRDefault="004806E1" w:rsidP="004D0F49">
            <w:pPr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Плановое значение – 100%.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 xml:space="preserve">Ежеквартально 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1.8.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Исключение незаконных решений по земле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Шт.</w:t>
            </w:r>
          </w:p>
        </w:tc>
        <w:tc>
          <w:tcPr>
            <w:tcW w:w="5670" w:type="dxa"/>
          </w:tcPr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01.01.2021.</w:t>
            </w:r>
          </w:p>
          <w:p w:rsidR="001F1908" w:rsidRPr="008B6216" w:rsidRDefault="001F1908" w:rsidP="001F1908">
            <w:pPr>
              <w:pStyle w:val="ae"/>
              <w:autoSpaceDE w:val="0"/>
              <w:autoSpaceDN w:val="0"/>
              <w:adjustRightInd w:val="0"/>
              <w:ind w:left="0"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Инциденты делятся на три вида, которым присваиваются следующие веса: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</w:t>
            </w:r>
            <w:r w:rsidRPr="008B6216">
              <w:rPr>
                <w:rFonts w:ascii="Times New Roman" w:hAnsi="Times New Roman"/>
              </w:rPr>
              <w:lastRenderedPageBreak/>
              <w:t>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</w:t>
            </w:r>
            <w:proofErr w:type="spellStart"/>
            <w:r w:rsidRPr="008B6216">
              <w:rPr>
                <w:rFonts w:ascii="Times New Roman" w:hAnsi="Times New Roman"/>
              </w:rPr>
              <w:t>и.т.п</w:t>
            </w:r>
            <w:proofErr w:type="spellEnd"/>
            <w:r w:rsidRPr="008B6216">
              <w:rPr>
                <w:rFonts w:ascii="Times New Roman" w:hAnsi="Times New Roman"/>
              </w:rPr>
              <w:t>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      </w:r>
          </w:p>
          <w:p w:rsidR="001F1908" w:rsidRPr="008B6216" w:rsidRDefault="001F1908" w:rsidP="001F1908">
            <w:pPr>
              <w:pStyle w:val="af1"/>
              <w:ind w:firstLine="29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</w:t>
            </w:r>
            <w:proofErr w:type="spellStart"/>
            <w:r w:rsidRPr="008B6216">
              <w:rPr>
                <w:sz w:val="22"/>
                <w:szCs w:val="22"/>
              </w:rPr>
              <w:lastRenderedPageBreak/>
              <w:t>Минмособлимущества</w:t>
            </w:r>
            <w:proofErr w:type="spellEnd"/>
            <w:r w:rsidRPr="008B6216">
              <w:rPr>
                <w:sz w:val="22"/>
                <w:szCs w:val="22"/>
              </w:rPr>
              <w:t>. Расчет производится по количеству инцидентов в муниципальном образовании с учетом веса инцидента, по формуле: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</w:p>
          <w:p w:rsidR="001F1908" w:rsidRPr="008B6216" w:rsidRDefault="001F1908" w:rsidP="001F1908">
            <w:pPr>
              <w:ind w:firstLine="29"/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И=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Ин+0,5*Ио+0,2*Ипр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Р</m:t>
                  </m:r>
                </m:den>
              </m:f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 – итоговое значение инцидентов;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Ин – количество инцидентов с незаконно принятом решении, не соответствующего решению, принятому в Министерстве.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      </w:r>
          </w:p>
          <w:p w:rsidR="001F1908" w:rsidRPr="008B6216" w:rsidRDefault="001F1908" w:rsidP="001F1908">
            <w:pPr>
              <w:autoSpaceDE w:val="0"/>
              <w:autoSpaceDN w:val="0"/>
              <w:adjustRightInd w:val="0"/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  Базовое (нормативное) значение – </w:t>
            </w:r>
            <w:r w:rsidRPr="008B6216">
              <w:rPr>
                <w:rFonts w:cs="Times New Roman"/>
                <w:sz w:val="22"/>
                <w:szCs w:val="22"/>
              </w:rPr>
              <w:t>0</w:t>
            </w:r>
            <w:r w:rsidRPr="008B6216">
              <w:rPr>
                <w:sz w:val="22"/>
                <w:szCs w:val="22"/>
              </w:rPr>
              <w:t>.</w:t>
            </w:r>
          </w:p>
          <w:p w:rsidR="001F1908" w:rsidRPr="008B6216" w:rsidRDefault="001F1908" w:rsidP="001F1908">
            <w:pPr>
              <w:ind w:firstLine="29"/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0.</w:t>
            </w:r>
          </w:p>
          <w:p w:rsidR="004806E1" w:rsidRPr="008B6216" w:rsidRDefault="001F1908" w:rsidP="001F1908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Единица измерения – шт.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ЕИСОУ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lastRenderedPageBreak/>
              <w:t>1.9.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недвижимого имущества, поставленных на кадастровый учет от выявленных земельных участков с объектами без прав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eastAsiaTheme="minorEastAsia"/>
              </w:rPr>
              <w:t>%</w:t>
            </w:r>
          </w:p>
        </w:tc>
        <w:tc>
          <w:tcPr>
            <w:tcW w:w="5670" w:type="dxa"/>
          </w:tcPr>
          <w:p w:rsidR="00543148" w:rsidRPr="008B6216" w:rsidRDefault="00543148" w:rsidP="00543148">
            <w:pPr>
              <w:pStyle w:val="af3"/>
              <w:ind w:right="0" w:firstLine="29"/>
              <w:rPr>
                <w:rFonts w:eastAsiaTheme="minorHAnsi"/>
                <w:sz w:val="22"/>
                <w:szCs w:val="22"/>
                <w:lang w:eastAsia="en-US"/>
              </w:rPr>
            </w:pPr>
            <w:r w:rsidRPr="008B6216">
              <w:rPr>
                <w:rFonts w:eastAsiaTheme="minorHAnsi"/>
                <w:sz w:val="22"/>
                <w:szCs w:val="22"/>
                <w:lang w:eastAsia="en-US"/>
              </w:rPr>
              <w:t>Показатель рассчитывается по следующей формуле:</w:t>
            </w:r>
          </w:p>
          <w:p w:rsidR="00543148" w:rsidRPr="008B6216" w:rsidRDefault="00543148" w:rsidP="00543148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Кв-Ку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 xml:space="preserve">, где 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r w:rsidRPr="008B6216">
              <w:rPr>
                <w:rFonts w:eastAsiaTheme="minorEastAsia" w:cs="Times New Roman"/>
                <w:sz w:val="22"/>
                <w:szCs w:val="22"/>
              </w:rPr>
              <w:t>Д - доля объектов недвижимого имущества, поставленных на кадастровый учет от выявленных земельных участков на которых расположены не зарегистрированные объекты недвижимости.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объектов недвижимого имущества, поставленных на кадастровый учет (далее ГКУ), нарастающим итогом с начала года.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ind w:firstLine="29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8B6216">
              <w:rPr>
                <w:rFonts w:eastAsiaTheme="minorEastAsia" w:cs="Times New Roman"/>
                <w:sz w:val="22"/>
                <w:szCs w:val="22"/>
              </w:rPr>
              <w:lastRenderedPageBreak/>
              <w:t>Кв</w:t>
            </w:r>
            <w:proofErr w:type="spellEnd"/>
            <w:r w:rsidRPr="008B6216">
              <w:rPr>
                <w:rFonts w:eastAsiaTheme="minorEastAsia" w:cs="Times New Roman"/>
                <w:sz w:val="22"/>
                <w:szCs w:val="22"/>
              </w:rPr>
              <w:t xml:space="preserve"> - количество выявленных земельных участков, на которых расположены не зарегистрированные объекты недвижимости на начало текущего календарного года.</w:t>
            </w:r>
          </w:p>
          <w:p w:rsidR="004806E1" w:rsidRPr="008B6216" w:rsidRDefault="00543148" w:rsidP="00543148">
            <w:pPr>
              <w:pStyle w:val="af3"/>
              <w:spacing w:line="276" w:lineRule="auto"/>
              <w:ind w:right="0" w:firstLine="29"/>
              <w:rPr>
                <w:rFonts w:eastAsiaTheme="minorHAnsi"/>
                <w:sz w:val="24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Ку — количество земельных участков удаленных из Реестра земельных участков с неоформленными объектами недвижимого имущества.</w:t>
            </w:r>
          </w:p>
        </w:tc>
        <w:tc>
          <w:tcPr>
            <w:tcW w:w="2359" w:type="dxa"/>
          </w:tcPr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lastRenderedPageBreak/>
              <w:t>Минмособлимущество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proofErr w:type="spellStart"/>
            <w:r w:rsidRPr="008B6216">
              <w:rPr>
                <w:rFonts w:cs="Times New Roman"/>
                <w:sz w:val="22"/>
              </w:rPr>
              <w:t>Росреестр</w:t>
            </w:r>
            <w:proofErr w:type="spellEnd"/>
            <w:r w:rsidR="00AA1047" w:rsidRPr="008B6216">
              <w:rPr>
                <w:rFonts w:cs="Times New Roman"/>
                <w:sz w:val="22"/>
              </w:rPr>
              <w:t>,</w:t>
            </w:r>
          </w:p>
          <w:p w:rsidR="00543148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B6216">
              <w:rPr>
                <w:rFonts w:cs="Times New Roman"/>
                <w:sz w:val="22"/>
              </w:rPr>
              <w:t xml:space="preserve">Ведомственная информационная система </w:t>
            </w:r>
            <w:proofErr w:type="spellStart"/>
            <w:r w:rsidRPr="008B6216">
              <w:rPr>
                <w:rFonts w:cs="Times New Roman"/>
                <w:sz w:val="22"/>
              </w:rPr>
              <w:t>Минмособлимущества</w:t>
            </w:r>
            <w:proofErr w:type="spellEnd"/>
          </w:p>
          <w:p w:rsidR="004806E1" w:rsidRPr="008B6216" w:rsidRDefault="00543148" w:rsidP="005431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B6216">
              <w:rPr>
                <w:rFonts w:cs="Times New Roman"/>
                <w:sz w:val="22"/>
              </w:rPr>
              <w:t>РГИС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1.10.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Прирост земельного налога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Расчет показателя осуществляется по следующей формуле:</w:t>
            </w:r>
          </w:p>
          <w:p w:rsidR="00A15B8D" w:rsidRPr="008B6216" w:rsidRDefault="00A15B8D" w:rsidP="00A15B8D">
            <w:pPr>
              <w:jc w:val="center"/>
              <w:rPr>
                <w:rFonts w:cs="Times New Roman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*100</m:t>
              </m:r>
            </m:oMath>
            <w:r w:rsidRPr="008B6216">
              <w:rPr>
                <w:rFonts w:cs="Times New Roman"/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Пзн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Процент собираемости земельного налога. 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Гп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B6216">
              <w:rPr>
                <w:rFonts w:cs="Times New Roman"/>
                <w:sz w:val="22"/>
                <w:szCs w:val="22"/>
              </w:rPr>
              <w:t>Фп</w:t>
            </w:r>
            <w:proofErr w:type="spellEnd"/>
            <w:r w:rsidRPr="008B6216">
              <w:rPr>
                <w:rFonts w:cs="Times New Roman"/>
                <w:sz w:val="22"/>
                <w:szCs w:val="22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Плановое значение показателя – 100.</w:t>
            </w:r>
          </w:p>
          <w:p w:rsidR="00A15B8D" w:rsidRPr="008B6216" w:rsidRDefault="00A15B8D" w:rsidP="00A15B8D">
            <w:pPr>
              <w:jc w:val="both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Единица измерения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–  %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.</w:t>
            </w:r>
          </w:p>
          <w:p w:rsidR="004806E1" w:rsidRPr="008B6216" w:rsidRDefault="00A15B8D" w:rsidP="00A15B8D">
            <w:pPr>
              <w:jc w:val="both"/>
              <w:rPr>
                <w:sz w:val="22"/>
                <w:szCs w:val="22"/>
              </w:rPr>
            </w:pPr>
            <w:r w:rsidRPr="008B6216">
              <w:rPr>
                <w:rFonts w:cs="Times New Roman"/>
                <w:sz w:val="22"/>
                <w:szCs w:val="22"/>
              </w:rPr>
              <w:t>Период – квартал.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 xml:space="preserve">Система ГАС «Управление», </w:t>
            </w:r>
            <w:r w:rsidRPr="008B6216">
              <w:rPr>
                <w:rFonts w:eastAsiaTheme="minorEastAsia"/>
                <w:sz w:val="22"/>
                <w:szCs w:val="22"/>
              </w:rPr>
              <w:t>утвержденный бюджет городского округа Электросталь Московской области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1.11.</w:t>
            </w:r>
          </w:p>
        </w:tc>
        <w:tc>
          <w:tcPr>
            <w:tcW w:w="3680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Доля объектов недвижимости,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985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</w:t>
            </w:r>
            <w:r w:rsidRPr="008B6216">
              <w:rPr>
                <w:rFonts w:ascii="Times New Roman" w:hAnsi="Times New Roman"/>
              </w:rPr>
              <w:lastRenderedPageBreak/>
              <w:t>координатам.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Показатель рассчитывается по следующей формуле: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КС*А*КРК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*Если (КС*А*КРК) больше РВИ, то</w:t>
            </w:r>
          </w:p>
          <w:p w:rsidR="004806E1" w:rsidRPr="008B6216" w:rsidRDefault="004806E1" w:rsidP="004D0F49">
            <w:pPr>
              <w:pStyle w:val="af1"/>
              <w:jc w:val="center"/>
              <w:rPr>
                <w:rFonts w:ascii="Times New Roman" w:hAnsi="Times New Roma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Адр=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РИВ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РВИ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*100</m:t>
              </m:r>
            </m:oMath>
            <w:r w:rsidRPr="008B6216">
              <w:rPr>
                <w:rFonts w:ascii="Times New Roman" w:hAnsi="Times New Roman"/>
              </w:rPr>
              <w:t>, где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proofErr w:type="spellStart"/>
            <w:r w:rsidRPr="008B6216">
              <w:rPr>
                <w:rFonts w:ascii="Times New Roman" w:hAnsi="Times New Roman"/>
              </w:rPr>
              <w:t>Адр</w:t>
            </w:r>
            <w:proofErr w:type="spellEnd"/>
            <w:r w:rsidRPr="008B6216">
              <w:rPr>
                <w:rFonts w:ascii="Times New Roman" w:hAnsi="Times New Roman"/>
              </w:rPr>
              <w:t>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</w:t>
            </w:r>
            <w:proofErr w:type="spellStart"/>
            <w:r w:rsidRPr="008B6216">
              <w:rPr>
                <w:rFonts w:ascii="Times New Roman" w:hAnsi="Times New Roman"/>
              </w:rPr>
              <w:t>РГИС.Источник</w:t>
            </w:r>
            <w:proofErr w:type="spellEnd"/>
            <w:r w:rsidRPr="008B6216">
              <w:rPr>
                <w:rFonts w:ascii="Times New Roman" w:hAnsi="Times New Roman"/>
              </w:rPr>
              <w:t xml:space="preserve">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Период: раз в квартал.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КС – количество сотрудников занимающихся адресацией объектов и внесением адреса в ФИАС. Источник: </w:t>
            </w:r>
            <w:proofErr w:type="spellStart"/>
            <w:r w:rsidRPr="008B6216">
              <w:rPr>
                <w:rFonts w:ascii="Times New Roman" w:hAnsi="Times New Roman"/>
              </w:rPr>
              <w:lastRenderedPageBreak/>
              <w:t>ОМСУ.Сведения</w:t>
            </w:r>
            <w:proofErr w:type="spellEnd"/>
            <w:r w:rsidRPr="008B6216">
              <w:rPr>
                <w:rFonts w:ascii="Times New Roman" w:hAnsi="Times New Roman"/>
              </w:rPr>
              <w:t xml:space="preserve"> о количестве сотрудников, занимающихся адресацией и внесением в ФИАС предоставляют ОМСУ в форме ГАСУ на начало </w:t>
            </w:r>
            <w:proofErr w:type="spellStart"/>
            <w:r w:rsidRPr="008B6216">
              <w:rPr>
                <w:rFonts w:ascii="Times New Roman" w:hAnsi="Times New Roman"/>
              </w:rPr>
              <w:t>года.Период</w:t>
            </w:r>
            <w:proofErr w:type="spellEnd"/>
            <w:r w:rsidRPr="008B6216">
              <w:rPr>
                <w:rFonts w:ascii="Times New Roman" w:hAnsi="Times New Roman"/>
              </w:rPr>
              <w:t>: раз в квартал данные на начало года уточняются.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 xml:space="preserve">А – Среднее количество адресов, которые сотрудник может внести в ФИАС и в РГИС за рабочий день – 25 адресов. Источник: </w:t>
            </w:r>
            <w:proofErr w:type="spellStart"/>
            <w:r w:rsidRPr="008B6216">
              <w:rPr>
                <w:rFonts w:ascii="Times New Roman" w:hAnsi="Times New Roman"/>
              </w:rPr>
              <w:t>Минмособлимущество</w:t>
            </w:r>
            <w:proofErr w:type="spellEnd"/>
            <w:r w:rsidRPr="008B6216">
              <w:rPr>
                <w:rFonts w:ascii="Times New Roman" w:hAnsi="Times New Roman"/>
              </w:rPr>
              <w:t>. Сведения сформированы статистически по данным ФИАС и РГИС.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КРК – количество рабочих дней в отчетном квартале.</w:t>
            </w:r>
          </w:p>
          <w:p w:rsidR="004806E1" w:rsidRPr="008B6216" w:rsidRDefault="004806E1" w:rsidP="004D0F49">
            <w:pPr>
              <w:pStyle w:val="af1"/>
              <w:spacing w:line="240" w:lineRule="exact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1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2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ascii="Times New Roman" w:hAnsi="Times New Roman"/>
              </w:rPr>
            </w:pPr>
            <w:r w:rsidRPr="008B6216">
              <w:rPr>
                <w:rFonts w:ascii="Times New Roman" w:hAnsi="Times New Roman"/>
              </w:rPr>
              <w:t>100% за 3 квартал;</w:t>
            </w:r>
          </w:p>
          <w:p w:rsidR="004806E1" w:rsidRPr="008B6216" w:rsidRDefault="004806E1" w:rsidP="004D0F49">
            <w:pPr>
              <w:pStyle w:val="af1"/>
              <w:jc w:val="both"/>
              <w:rPr>
                <w:rFonts w:eastAsia="Times New Roman"/>
                <w:lang w:eastAsia="ru-RU"/>
              </w:rPr>
            </w:pPr>
            <w:r w:rsidRPr="008B6216">
              <w:rPr>
                <w:rFonts w:ascii="Times New Roman" w:hAnsi="Times New Roman"/>
              </w:rPr>
              <w:t>100% за 4 квартал (год).</w:t>
            </w:r>
          </w:p>
        </w:tc>
        <w:tc>
          <w:tcPr>
            <w:tcW w:w="2359" w:type="dxa"/>
          </w:tcPr>
          <w:p w:rsidR="004806E1" w:rsidRPr="008B6216" w:rsidRDefault="004806E1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lastRenderedPageBreak/>
              <w:t>Система ГАС «Управление»</w:t>
            </w:r>
          </w:p>
        </w:tc>
        <w:tc>
          <w:tcPr>
            <w:tcW w:w="1984" w:type="dxa"/>
          </w:tcPr>
          <w:p w:rsidR="004806E1" w:rsidRPr="008B6216" w:rsidRDefault="0062464F" w:rsidP="00FE3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A15B8D" w:rsidRPr="008B6216" w:rsidTr="00543148">
        <w:tc>
          <w:tcPr>
            <w:tcW w:w="693" w:type="dxa"/>
          </w:tcPr>
          <w:p w:rsidR="00A15B8D" w:rsidRPr="008B6216" w:rsidRDefault="00A15B8D" w:rsidP="00FE35F6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lastRenderedPageBreak/>
              <w:t>1.12.</w:t>
            </w:r>
          </w:p>
        </w:tc>
        <w:tc>
          <w:tcPr>
            <w:tcW w:w="3680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985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</w:rPr>
            </w:pPr>
            <w:r w:rsidRPr="008B6216">
              <w:rPr>
                <w:rFonts w:eastAsiaTheme="minorEastAsia" w:cs="Times New Roman"/>
              </w:rPr>
              <w:t>%</w:t>
            </w:r>
          </w:p>
        </w:tc>
        <w:tc>
          <w:tcPr>
            <w:tcW w:w="5670" w:type="dxa"/>
          </w:tcPr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Показатель рассчитывается по формуле: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8B6216" w:rsidRDefault="00A15B8D" w:rsidP="00A15B8D">
            <w:pPr>
              <w:ind w:firstLine="29"/>
              <w:jc w:val="center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*100</m:t>
              </m:r>
            </m:oMath>
            <w:r w:rsidRPr="008B6216">
              <w:rPr>
                <w:sz w:val="22"/>
                <w:szCs w:val="22"/>
              </w:rPr>
              <w:t>, где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r w:rsidRPr="008B6216">
              <w:rPr>
                <w:sz w:val="22"/>
                <w:szCs w:val="22"/>
              </w:rPr>
              <w:t>Па – процент проведенных аукционов, %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 w:val="22"/>
                <w:szCs w:val="22"/>
              </w:rPr>
            </w:pPr>
            <w:proofErr w:type="spellStart"/>
            <w:r w:rsidRPr="008B6216">
              <w:rPr>
                <w:sz w:val="22"/>
                <w:szCs w:val="22"/>
              </w:rPr>
              <w:t>Аобщ</w:t>
            </w:r>
            <w:proofErr w:type="spellEnd"/>
            <w:r w:rsidRPr="008B6216">
              <w:rPr>
                <w:sz w:val="22"/>
                <w:szCs w:val="22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A15B8D" w:rsidRPr="008B6216" w:rsidRDefault="00A15B8D" w:rsidP="00A15B8D">
            <w:pPr>
              <w:ind w:firstLine="29"/>
              <w:jc w:val="both"/>
              <w:rPr>
                <w:szCs w:val="28"/>
              </w:rPr>
            </w:pPr>
            <w:proofErr w:type="spellStart"/>
            <w:r w:rsidRPr="008B6216">
              <w:rPr>
                <w:sz w:val="22"/>
                <w:szCs w:val="22"/>
              </w:rPr>
              <w:t>Амсп</w:t>
            </w:r>
            <w:proofErr w:type="spellEnd"/>
            <w:r w:rsidRPr="008B6216">
              <w:rPr>
                <w:sz w:val="22"/>
                <w:szCs w:val="22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</w:tc>
        <w:tc>
          <w:tcPr>
            <w:tcW w:w="2359" w:type="dxa"/>
          </w:tcPr>
          <w:p w:rsidR="00A15B8D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rFonts w:cs="Times New Roman"/>
                <w:sz w:val="22"/>
              </w:rPr>
              <w:t>Система ГАС «Управление»</w:t>
            </w:r>
            <w:r w:rsidRPr="008B6216">
              <w:rPr>
                <w:sz w:val="22"/>
              </w:rPr>
              <w:t>, ОМС,</w:t>
            </w:r>
          </w:p>
          <w:p w:rsidR="00AA1047" w:rsidRPr="008B6216" w:rsidRDefault="00A15B8D" w:rsidP="00B34908">
            <w:pPr>
              <w:jc w:val="center"/>
              <w:rPr>
                <w:sz w:val="22"/>
              </w:rPr>
            </w:pPr>
            <w:r w:rsidRPr="008B6216">
              <w:rPr>
                <w:sz w:val="22"/>
              </w:rPr>
              <w:t xml:space="preserve">официальный сайт торгов РФ, официальный сайт торгов МО, </w:t>
            </w:r>
          </w:p>
          <w:p w:rsidR="00A15B8D" w:rsidRPr="008B6216" w:rsidRDefault="00A15B8D" w:rsidP="00B34908">
            <w:pPr>
              <w:jc w:val="center"/>
              <w:rPr>
                <w:rFonts w:cs="Times New Roman"/>
                <w:sz w:val="22"/>
              </w:rPr>
            </w:pPr>
            <w:r w:rsidRPr="008B6216">
              <w:rPr>
                <w:sz w:val="22"/>
              </w:rPr>
              <w:t xml:space="preserve">Комитет </w:t>
            </w:r>
            <w:r w:rsidRPr="008B6216">
              <w:rPr>
                <w:sz w:val="22"/>
              </w:rPr>
              <w:br/>
              <w:t>по конкурентной политике МО.</w:t>
            </w:r>
          </w:p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</w:p>
        </w:tc>
        <w:tc>
          <w:tcPr>
            <w:tcW w:w="1984" w:type="dxa"/>
          </w:tcPr>
          <w:p w:rsidR="00A15B8D" w:rsidRPr="008B6216" w:rsidRDefault="00A15B8D" w:rsidP="00B3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</w:rPr>
            </w:pPr>
            <w:r w:rsidRPr="008B6216">
              <w:rPr>
                <w:rFonts w:eastAsiaTheme="minorEastAsia" w:cs="Times New Roman"/>
                <w:sz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III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Совершенствование муниципальной службы </w:t>
            </w:r>
            <w:r w:rsidRPr="008B6216">
              <w:rPr>
                <w:rFonts w:cs="Times New Roman"/>
                <w:sz w:val="22"/>
              </w:rPr>
              <w:t>Московской области</w:t>
            </w:r>
            <w:r w:rsidRPr="008B6216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2.1.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 xml:space="preserve">Доля </w:t>
            </w:r>
            <w:proofErr w:type="gramStart"/>
            <w:r w:rsidRPr="008B6216">
              <w:rPr>
                <w:rFonts w:ascii="Times New Roman" w:hAnsi="Times New Roman" w:cs="Times New Roman"/>
                <w:szCs w:val="22"/>
              </w:rPr>
              <w:t>муниципальных служащих</w:t>
            </w:r>
            <w:proofErr w:type="gramEnd"/>
            <w:r w:rsidRPr="008B6216">
              <w:rPr>
                <w:rFonts w:ascii="Times New Roman" w:hAnsi="Times New Roman" w:cs="Times New Roman"/>
                <w:szCs w:val="22"/>
              </w:rPr>
              <w:t xml:space="preserve"> соответствующих квалификационным требованиям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ДКТ = ЧМСКТ/ЧМС, где: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ДКТ - доля </w:t>
            </w:r>
            <w:proofErr w:type="gramStart"/>
            <w:r w:rsidRPr="008B6216">
              <w:rPr>
                <w:rFonts w:cs="Times New Roman"/>
                <w:sz w:val="22"/>
                <w:szCs w:val="22"/>
              </w:rPr>
              <w:t>муниципальных служащих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 xml:space="preserve"> соответствующих </w:t>
            </w:r>
            <w:r w:rsidRPr="008B6216">
              <w:rPr>
                <w:rFonts w:cs="Times New Roman"/>
                <w:sz w:val="22"/>
                <w:szCs w:val="22"/>
              </w:rPr>
              <w:lastRenderedPageBreak/>
              <w:t>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ЧМСКТ – численность муниципальных служащих, соответствующих квалификационным требованиям;</w:t>
            </w:r>
          </w:p>
          <w:p w:rsidR="004806E1" w:rsidRPr="008B6216" w:rsidRDefault="004806E1" w:rsidP="00093CA5">
            <w:pPr>
              <w:widowControl w:val="0"/>
              <w:suppressAutoHyphens/>
              <w:jc w:val="both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ЧМС – общая численность муниципальных служащих.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lastRenderedPageBreak/>
              <w:t>Статистическая отчетность</w:t>
            </w:r>
          </w:p>
        </w:tc>
        <w:tc>
          <w:tcPr>
            <w:tcW w:w="1984" w:type="dxa"/>
          </w:tcPr>
          <w:p w:rsidR="004806E1" w:rsidRPr="008B6216" w:rsidRDefault="0062464F" w:rsidP="00093CA5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335" w:type="dxa"/>
            <w:gridSpan w:val="3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 xml:space="preserve">Подпрограмма </w:t>
            </w:r>
            <w:proofErr w:type="gramStart"/>
            <w:r w:rsidRPr="008B6216">
              <w:rPr>
                <w:rFonts w:cs="Times New Roman"/>
                <w:sz w:val="22"/>
                <w:szCs w:val="22"/>
                <w:lang w:val="en-US"/>
              </w:rPr>
              <w:t>IV</w:t>
            </w:r>
            <w:r w:rsidRPr="008B6216">
              <w:rPr>
                <w:rFonts w:cs="Times New Roman"/>
                <w:sz w:val="22"/>
                <w:szCs w:val="22"/>
              </w:rPr>
              <w:t>«</w:t>
            </w:r>
            <w:proofErr w:type="gramEnd"/>
            <w:r w:rsidRPr="008B6216">
              <w:rPr>
                <w:rFonts w:cs="Times New Roman"/>
                <w:sz w:val="22"/>
                <w:szCs w:val="22"/>
              </w:rPr>
              <w:t>Управление муниципальными финансами»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  <w:tc>
          <w:tcPr>
            <w:tcW w:w="1984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3.1.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Снижение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доли  налоговой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задолженности к собственным налоговым поступлениям в консолидированный бюджет Московской области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outlineLvl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СЗ = (ЗН-ЗНП) x 100 / ПН,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 - задолженность по налоговым платежам в консолидированный бюджет Московской области в отчетном календарном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ЗНП – приостановленная к взысканию задолженность;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 - поступления налоговых доходов в консолидированный бюджет Московской области в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,0.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Отчеты о поступлениях и задолженности за отчетный календарный год и год, предшествующий отчетному календарному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3.2.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Ежегодный прирост налоговых и неналоговых доходов бюджета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(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без учета доходов по дополнительным нормативам отчислений)  в отчетном финансовом году к поступлениям в году, предшествующем отчетному финансовому году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/ </w:t>
            </w: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x 100% - 100%,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Пниндо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отчислений)   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Пниндп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- поступления налоговых и неналоговых доходов (без учета доходов по дополнительным нормативам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отчислений)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году, предшествующем отчетному финансовому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>Значение базового показателя – 9,6.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lastRenderedPageBreak/>
              <w:t xml:space="preserve">Отчеты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 и финансовый год, предшествующий отчетному финансовому году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3.3.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Отношение объема муниципального долга городского </w:t>
            </w:r>
            <w:proofErr w:type="gramStart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Рмд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МД / (Д - БП)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Д - объем доходов бюджета городского округа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Значение базового показателя -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&lt; 50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widowControl w:val="0"/>
              <w:suppressAutoHyphens/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год, данные муниципальной долговой книги городского округа  за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widowControl w:val="0"/>
              <w:suppressAutoHyphens/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  <w:tr w:rsidR="004806E1" w:rsidRPr="008B6216" w:rsidTr="00543148">
        <w:tc>
          <w:tcPr>
            <w:tcW w:w="693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3.4.</w:t>
            </w:r>
          </w:p>
        </w:tc>
        <w:tc>
          <w:tcPr>
            <w:tcW w:w="368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к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985" w:type="dxa"/>
          </w:tcPr>
          <w:p w:rsidR="004806E1" w:rsidRPr="008B6216" w:rsidRDefault="004806E1" w:rsidP="00093CA5">
            <w:pPr>
              <w:widowControl w:val="0"/>
              <w:suppressAutoHyphens/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5670" w:type="dxa"/>
          </w:tcPr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показателя определяется по формуле: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proofErr w:type="spell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Рогд</w:t>
            </w:r>
            <w:proofErr w:type="spell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= ОМД / (РБГО - РС) x 100%, где: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ОМД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на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обслуживание муниципального долга городского округа  в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РБГО - объем расходов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отчетном финансовом году;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РС - объем расходов, осуществляемых за счет субвенций в отчетном финансовом году.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Единица измерения - процент.</w:t>
            </w:r>
          </w:p>
          <w:p w:rsidR="004806E1" w:rsidRPr="008B6216" w:rsidRDefault="004806E1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Значение базового показателя - &lt;=5.</w:t>
            </w:r>
          </w:p>
        </w:tc>
        <w:tc>
          <w:tcPr>
            <w:tcW w:w="2359" w:type="dxa"/>
          </w:tcPr>
          <w:p w:rsidR="004806E1" w:rsidRPr="008B6216" w:rsidRDefault="004806E1" w:rsidP="00093CA5">
            <w:pPr>
              <w:rPr>
                <w:rFonts w:cs="Times New Roman"/>
              </w:rPr>
            </w:pPr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Отчет об исполнении бюджета городского </w:t>
            </w:r>
            <w:proofErr w:type="gramStart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>округа  за</w:t>
            </w:r>
            <w:proofErr w:type="gramEnd"/>
            <w:r w:rsidRPr="008B6216">
              <w:rPr>
                <w:rFonts w:eastAsiaTheme="minorHAnsi" w:cs="Times New Roman"/>
                <w:sz w:val="22"/>
                <w:szCs w:val="22"/>
                <w:lang w:eastAsia="en-US"/>
              </w:rPr>
              <w:t xml:space="preserve"> отчетный финансовый год</w:t>
            </w:r>
          </w:p>
        </w:tc>
        <w:tc>
          <w:tcPr>
            <w:tcW w:w="1984" w:type="dxa"/>
          </w:tcPr>
          <w:p w:rsidR="004806E1" w:rsidRPr="008B6216" w:rsidRDefault="0062464F" w:rsidP="0062464F">
            <w:pPr>
              <w:jc w:val="center"/>
              <w:rPr>
                <w:rFonts w:eastAsiaTheme="minorHAnsi" w:cs="Times New Roman"/>
                <w:sz w:val="22"/>
                <w:szCs w:val="22"/>
                <w:lang w:eastAsia="en-US"/>
              </w:rPr>
            </w:pPr>
            <w:r w:rsidRPr="008B6216">
              <w:rPr>
                <w:rFonts w:eastAsiaTheme="minorEastAsia"/>
                <w:sz w:val="22"/>
                <w:szCs w:val="22"/>
              </w:rPr>
              <w:t>Ежеквартально</w:t>
            </w: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8. Порядок взаимодействия ответственного за выполнение мероприятия с муниципальным заказчиком подпрограммы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Муниципальный заказчик подпрограммы: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3) вводит в подсистему ГАСУ МО отчеты о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E55C3" w:rsidRPr="008B6216" w:rsidRDefault="00EE55C3" w:rsidP="00EE55C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6) согласовывает «Дорожные карты» (при необходимости их разработки), внесение в них изменений и отчеты об их исполнении.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Ответственный за выполнение мероприятия: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3) разрабатывает (при необходимости) «Дорожные карты» по основным мероприятиям, ответственным за выполнение которых является;</w:t>
      </w:r>
    </w:p>
    <w:p w:rsidR="00EE55C3" w:rsidRPr="008B6216" w:rsidRDefault="00EE55C3" w:rsidP="00EE55C3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9. Состав, форма и сроки представления отчетности 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E55C3" w:rsidRPr="008B6216" w:rsidRDefault="00EE55C3" w:rsidP="00EE55C3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 xml:space="preserve">Муниципальный заказчик подпрограммы с учетом представленной ответственным за выполнение мероприятия информации формирует в ГАСУ </w:t>
      </w:r>
      <w:proofErr w:type="spellStart"/>
      <w:r w:rsidRPr="008B6216">
        <w:rPr>
          <w:rFonts w:cs="Times New Roman"/>
        </w:rPr>
        <w:t>МОотчетность</w:t>
      </w:r>
      <w:proofErr w:type="spellEnd"/>
      <w:r w:rsidRPr="008B6216">
        <w:rPr>
          <w:rFonts w:cs="Times New Roman"/>
        </w:rPr>
        <w:t xml:space="preserve"> о реализации муниципальной программы. </w:t>
      </w:r>
    </w:p>
    <w:p w:rsidR="00122EED" w:rsidRPr="008B6216" w:rsidRDefault="00EE55C3" w:rsidP="00122EED">
      <w:pPr>
        <w:ind w:firstLine="708"/>
        <w:jc w:val="both"/>
        <w:rPr>
          <w:rFonts w:cs="Times New Roman"/>
        </w:rPr>
      </w:pPr>
      <w:r w:rsidRPr="008B6216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122EED">
      <w:pPr>
        <w:ind w:firstLine="9639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 xml:space="preserve">Приложение №1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534DF7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«Развитие имущественного комплекса»</w:t>
      </w:r>
    </w:p>
    <w:p w:rsidR="00534DF7" w:rsidRPr="008B6216" w:rsidRDefault="00EE55C3" w:rsidP="00534D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D94C25" w:rsidRPr="002618A2" w:rsidRDefault="00D94C25" w:rsidP="00D94C25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D94C25" w:rsidRPr="002618A2" w:rsidRDefault="00D94C25" w:rsidP="00D94C25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533 816,1</w:t>
            </w: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110 915,1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119 567,4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103 222,6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100 055,5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100 055,5</w:t>
            </w:r>
          </w:p>
        </w:tc>
        <w:tc>
          <w:tcPr>
            <w:tcW w:w="3204" w:type="dxa"/>
            <w:vMerge w:val="restart"/>
          </w:tcPr>
          <w:p w:rsidR="00D94C25" w:rsidRPr="002618A2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513 995,1</w:t>
            </w:r>
          </w:p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106 838,1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115 631,4</w:t>
            </w:r>
          </w:p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99 286,6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96 119,5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96 119,5</w:t>
            </w:r>
          </w:p>
        </w:tc>
        <w:tc>
          <w:tcPr>
            <w:tcW w:w="3204" w:type="dxa"/>
            <w:vMerge/>
          </w:tcPr>
          <w:p w:rsidR="00D94C25" w:rsidRPr="002618A2" w:rsidRDefault="00D94C25" w:rsidP="00D94C25">
            <w:pPr>
              <w:rPr>
                <w:rFonts w:cs="Times New Roman"/>
              </w:rPr>
            </w:pPr>
          </w:p>
        </w:tc>
      </w:tr>
      <w:tr w:rsidR="00D94C25" w:rsidRPr="002618A2" w:rsidTr="00D94C25">
        <w:tc>
          <w:tcPr>
            <w:tcW w:w="4478" w:type="dxa"/>
          </w:tcPr>
          <w:p w:rsidR="00D94C25" w:rsidRPr="002618A2" w:rsidRDefault="00D94C25" w:rsidP="00CB0470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19 821,0</w:t>
            </w:r>
          </w:p>
        </w:tc>
        <w:tc>
          <w:tcPr>
            <w:tcW w:w="1226" w:type="dxa"/>
          </w:tcPr>
          <w:p w:rsidR="00D94C25" w:rsidRPr="00534DF7" w:rsidRDefault="001C2EF3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4077,0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3204" w:type="dxa"/>
            <w:vMerge/>
          </w:tcPr>
          <w:p w:rsidR="00D94C25" w:rsidRPr="002618A2" w:rsidRDefault="00D94C25" w:rsidP="00D94C25">
            <w:pPr>
              <w:rPr>
                <w:rFonts w:cs="Times New Roman"/>
              </w:rPr>
            </w:pP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457 162,3</w:t>
            </w:r>
          </w:p>
        </w:tc>
        <w:tc>
          <w:tcPr>
            <w:tcW w:w="1226" w:type="dxa"/>
          </w:tcPr>
          <w:p w:rsidR="00D94C25" w:rsidRPr="00534DF7" w:rsidRDefault="00601EE1" w:rsidP="00601E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99 031,9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96 754,8</w:t>
            </w:r>
          </w:p>
        </w:tc>
        <w:tc>
          <w:tcPr>
            <w:tcW w:w="1276" w:type="dxa"/>
          </w:tcPr>
          <w:p w:rsidR="00D94C25" w:rsidRPr="001C2EF3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2EF3">
              <w:rPr>
                <w:rFonts w:ascii="Times New Roman" w:hAnsi="Times New Roman" w:cs="Times New Roman"/>
                <w:szCs w:val="22"/>
              </w:rPr>
              <w:t>88 307,4</w:t>
            </w:r>
          </w:p>
        </w:tc>
        <w:tc>
          <w:tcPr>
            <w:tcW w:w="1275" w:type="dxa"/>
          </w:tcPr>
          <w:p w:rsidR="00D94C25" w:rsidRPr="001C2EF3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C2EF3">
              <w:rPr>
                <w:rFonts w:ascii="Times New Roman" w:hAnsi="Times New Roman" w:cs="Times New Roman"/>
                <w:szCs w:val="22"/>
              </w:rPr>
              <w:t>86 534,1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86 534,1</w:t>
            </w:r>
          </w:p>
        </w:tc>
        <w:tc>
          <w:tcPr>
            <w:tcW w:w="3204" w:type="dxa"/>
            <w:vMerge w:val="restart"/>
          </w:tcPr>
          <w:p w:rsidR="00D94C25" w:rsidRPr="00534DF7" w:rsidRDefault="00D94C25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</w:t>
            </w: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437 341,3</w:t>
            </w:r>
          </w:p>
        </w:tc>
        <w:tc>
          <w:tcPr>
            <w:tcW w:w="1226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94 954,9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92 818,8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84 371,4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82 598,1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82 598,1</w:t>
            </w:r>
          </w:p>
        </w:tc>
        <w:tc>
          <w:tcPr>
            <w:tcW w:w="3204" w:type="dxa"/>
            <w:vMerge/>
          </w:tcPr>
          <w:p w:rsidR="00D94C25" w:rsidRPr="00534DF7" w:rsidRDefault="00D94C25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94C25" w:rsidRPr="002618A2" w:rsidTr="00D94C25">
        <w:tc>
          <w:tcPr>
            <w:tcW w:w="4478" w:type="dxa"/>
            <w:vAlign w:val="center"/>
          </w:tcPr>
          <w:p w:rsidR="00D94C25" w:rsidRPr="002618A2" w:rsidRDefault="00D94C25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D94C25" w:rsidRPr="00534DF7" w:rsidRDefault="00D94C25" w:rsidP="00601EE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19</w:t>
            </w:r>
            <w:r w:rsidR="00601EE1">
              <w:rPr>
                <w:rFonts w:ascii="Times New Roman" w:hAnsi="Times New Roman" w:cs="Times New Roman"/>
                <w:szCs w:val="22"/>
              </w:rPr>
              <w:t> 821,0</w:t>
            </w:r>
          </w:p>
        </w:tc>
        <w:tc>
          <w:tcPr>
            <w:tcW w:w="1226" w:type="dxa"/>
          </w:tcPr>
          <w:p w:rsidR="00D94C25" w:rsidRPr="00534DF7" w:rsidRDefault="00601EE1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4 077,0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3 936,0</w:t>
            </w:r>
          </w:p>
        </w:tc>
        <w:tc>
          <w:tcPr>
            <w:tcW w:w="1276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275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1332" w:type="dxa"/>
          </w:tcPr>
          <w:p w:rsidR="00D94C25" w:rsidRPr="00534DF7" w:rsidRDefault="00D94C25" w:rsidP="00D94C2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3 936,0</w:t>
            </w:r>
          </w:p>
        </w:tc>
        <w:tc>
          <w:tcPr>
            <w:tcW w:w="3204" w:type="dxa"/>
            <w:vMerge/>
          </w:tcPr>
          <w:p w:rsidR="00D94C25" w:rsidRPr="00534DF7" w:rsidRDefault="00D94C25" w:rsidP="00D94C2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601EE1" w:rsidP="00534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</w:t>
            </w:r>
            <w:r w:rsidR="00F2393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495,9</w:t>
            </w:r>
          </w:p>
        </w:tc>
        <w:tc>
          <w:tcPr>
            <w:tcW w:w="1226" w:type="dxa"/>
          </w:tcPr>
          <w:p w:rsidR="00534DF7" w:rsidRPr="00534DF7" w:rsidRDefault="00601EE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8 608,0</w:t>
            </w:r>
          </w:p>
        </w:tc>
        <w:tc>
          <w:tcPr>
            <w:tcW w:w="1276" w:type="dxa"/>
          </w:tcPr>
          <w:p w:rsidR="00534DF7" w:rsidRPr="00534DF7" w:rsidRDefault="00534DF7" w:rsidP="00534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13 807,7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11 184,6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34DF7" w:rsidRPr="00534DF7" w:rsidRDefault="00F2393F" w:rsidP="00534D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54 495,9</w:t>
            </w:r>
          </w:p>
        </w:tc>
        <w:tc>
          <w:tcPr>
            <w:tcW w:w="1226" w:type="dxa"/>
          </w:tcPr>
          <w:p w:rsidR="00534DF7" w:rsidRPr="00534DF7" w:rsidRDefault="00601EE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8 608,0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13 807,7</w:t>
            </w:r>
          </w:p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11 184,6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10 447,8</w:t>
            </w:r>
          </w:p>
        </w:tc>
        <w:tc>
          <w:tcPr>
            <w:tcW w:w="3204" w:type="dxa"/>
            <w:vMerge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19 657,9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3 275,2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6 504,9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534DF7" w:rsidRPr="002618A2" w:rsidTr="00D94C25">
        <w:tc>
          <w:tcPr>
            <w:tcW w:w="4478" w:type="dxa"/>
            <w:vAlign w:val="center"/>
          </w:tcPr>
          <w:p w:rsidR="00534DF7" w:rsidRPr="002618A2" w:rsidRDefault="00534DF7" w:rsidP="00D94C25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19 657,9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3 275,2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6 504,9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3 730,6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3 073,6</w:t>
            </w:r>
          </w:p>
        </w:tc>
        <w:tc>
          <w:tcPr>
            <w:tcW w:w="3204" w:type="dxa"/>
            <w:vMerge/>
          </w:tcPr>
          <w:p w:rsidR="00534DF7" w:rsidRPr="00534DF7" w:rsidRDefault="00534DF7" w:rsidP="00D94C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4DF7" w:rsidRPr="002618A2" w:rsidTr="00EB6DE6">
        <w:tc>
          <w:tcPr>
            <w:tcW w:w="4478" w:type="dxa"/>
            <w:vAlign w:val="center"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 w:val="restart"/>
          </w:tcPr>
          <w:p w:rsidR="00534DF7" w:rsidRPr="00534DF7" w:rsidRDefault="00534DF7" w:rsidP="00534DF7">
            <w:pPr>
              <w:rPr>
                <w:rFonts w:cs="Times New Roman"/>
                <w:sz w:val="22"/>
                <w:szCs w:val="22"/>
              </w:rPr>
            </w:pPr>
            <w:r w:rsidRPr="00534DF7">
              <w:rPr>
                <w:rFonts w:cs="Times New Roman"/>
                <w:sz w:val="22"/>
                <w:szCs w:val="22"/>
              </w:rPr>
              <w:t>Комитет по строительству, дорожной деятельности и благоустройства</w:t>
            </w:r>
          </w:p>
          <w:p w:rsidR="00534DF7" w:rsidRPr="00534DF7" w:rsidRDefault="00534DF7" w:rsidP="00534D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Администрации городского округа Электросталь Московской области</w:t>
            </w:r>
          </w:p>
        </w:tc>
      </w:tr>
      <w:tr w:rsidR="00534DF7" w:rsidRPr="002618A2" w:rsidTr="00EB6DE6">
        <w:tc>
          <w:tcPr>
            <w:tcW w:w="4478" w:type="dxa"/>
            <w:vAlign w:val="center"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122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2500,0</w:t>
            </w:r>
          </w:p>
        </w:tc>
        <w:tc>
          <w:tcPr>
            <w:tcW w:w="1276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5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32" w:type="dxa"/>
          </w:tcPr>
          <w:p w:rsidR="00534DF7" w:rsidRPr="00534DF7" w:rsidRDefault="00534DF7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34DF7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3204" w:type="dxa"/>
            <w:vMerge/>
          </w:tcPr>
          <w:p w:rsidR="00534DF7" w:rsidRPr="002618A2" w:rsidRDefault="00534DF7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ind w:right="140"/>
        <w:jc w:val="center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right="140"/>
        <w:jc w:val="center"/>
        <w:rPr>
          <w:rFonts w:cs="Times New Roman"/>
        </w:rPr>
      </w:pPr>
      <w:r w:rsidRPr="008B6216">
        <w:rPr>
          <w:rFonts w:cs="Times New Roman"/>
        </w:rPr>
        <w:lastRenderedPageBreak/>
        <w:t>2. Характеристика проблем,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ind w:right="140" w:firstLine="567"/>
        <w:jc w:val="both"/>
        <w:rPr>
          <w:rFonts w:cs="Times New Roman"/>
        </w:rPr>
      </w:pP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Уровень развития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во многом определяет степень устойчивости экономики городского округа Электросталь Московской области и возможность её стабильного развития в рыночных условиях.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собственности муниципального образования «городской округ Электросталь Московской области» (далее - городского округа Электросталь), является важной стратегической целью проведения политики городского округа Электросталь в сфере </w:t>
      </w:r>
      <w:proofErr w:type="spellStart"/>
      <w:r w:rsidRPr="008B6216">
        <w:rPr>
          <w:rFonts w:cs="Times New Roman"/>
          <w:lang w:eastAsia="en-US"/>
        </w:rPr>
        <w:t>имущественно</w:t>
      </w:r>
      <w:proofErr w:type="spellEnd"/>
      <w:r w:rsidRPr="008B6216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    собственности, а также приватизации муниципального имущества.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Деятельность в сфере земельно-имущественных отношений направлена на использование земли как базового актива, обеспечивающего поступление средств в бюджет городского округа Электросталь Московской области, а также удовлетворяющего потребности граждан и организаций в размещении объектов различного назначения - от жилых домов и административных зданий до улично-дорожной сети и природных комплексов.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находящихся в муниципальной собственности, а также в иных случаях, установленных законодательством Российской Федерации, ведется работа по инвентаризации земельных участков, отнесенных к муниципальной собственности, в рамках разграничения государственной собственности на землю в соответствии с Федеральным </w:t>
      </w:r>
      <w:hyperlink r:id="rId12" w:history="1">
        <w:r w:rsidRPr="008B621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B6216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 этих целях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 при разграничении государственной собственности на землю, а также в отношении земельных участков, право собственности на которые зарегистрировано.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>В целях поддержки многодетных семей принят Закон Московской области от 01.06.2011 № 73/2011-ОЗ «О бесплатном предоставлении многодетным семьям земельных участков в Московской области» (далее – Закон МО), который дает право многодетным семьям приобрести бесплатно, в том числе для индивидуального жилищного строительства, земельные участки, находящиеся в муниципальной или государственной собственности.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В соответствии с законом МО в целях бесплатного получения земельных участков по состоянию на 01.10.2019 было поставлено на учет 669 многодетных семей. Для удовлетворения потребностей многодетных семей (поставленных на учет) требуется 125 га из расчета 1500 </w:t>
      </w:r>
      <w:proofErr w:type="spellStart"/>
      <w:r w:rsidRPr="008B6216">
        <w:rPr>
          <w:rFonts w:cs="Times New Roman"/>
        </w:rPr>
        <w:t>кв.метров</w:t>
      </w:r>
      <w:proofErr w:type="spellEnd"/>
      <w:r w:rsidRPr="008B6216">
        <w:rPr>
          <w:rFonts w:cs="Times New Roman"/>
        </w:rPr>
        <w:t xml:space="preserve"> на одну семью. В перспективе эта величина может возрасти до 150 га и более, которая по мере реализации подпрограммы будет корректироваться с учетом роста многодетных семей, поставленных на учет.</w:t>
      </w:r>
    </w:p>
    <w:p w:rsidR="00EE55C3" w:rsidRPr="008B6216" w:rsidRDefault="00EE55C3" w:rsidP="0086777A">
      <w:pPr>
        <w:ind w:firstLine="567"/>
        <w:jc w:val="both"/>
        <w:rPr>
          <w:rFonts w:cs="Times New Roman"/>
        </w:rPr>
      </w:pPr>
      <w:r w:rsidRPr="008B6216">
        <w:rPr>
          <w:rFonts w:cs="Times New Roman"/>
        </w:rPr>
        <w:t xml:space="preserve"> Механизм реализации мероприятия предполагает оказание муниципальной поддержки многодетным семьям – участникам подпрограммы в улучшении жилищных условий и создания благоприятных условий среды обитания путем предоставления им бесплатно в собственность земельных участков для индивидуального жилищного строительства, ведения садоводства.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</w:rPr>
        <w:t xml:space="preserve">Проблема реализации мероприятия заключается в отсутствии на территории городского округа земельных участков, пригодных для </w:t>
      </w:r>
      <w:r w:rsidRPr="008B6216">
        <w:rPr>
          <w:rFonts w:cs="Times New Roman"/>
        </w:rPr>
        <w:lastRenderedPageBreak/>
        <w:t xml:space="preserve">предоставления многодетным семьями обеспеченных инженерными коммуникациями и подъездами.  </w:t>
      </w:r>
      <w:proofErr w:type="gramStart"/>
      <w:r w:rsidRPr="008B6216">
        <w:rPr>
          <w:rFonts w:cs="Times New Roman"/>
        </w:rPr>
        <w:t>Кроме того</w:t>
      </w:r>
      <w:proofErr w:type="gramEnd"/>
      <w:r w:rsidRPr="008B6216">
        <w:rPr>
          <w:rFonts w:cs="Times New Roman"/>
        </w:rPr>
        <w:t xml:space="preserve"> дефицит земельных участков, необходимых для реализации </w:t>
      </w:r>
      <w:proofErr w:type="spellStart"/>
      <w:r w:rsidRPr="008B6216">
        <w:rPr>
          <w:rFonts w:cs="Times New Roman"/>
          <w:lang w:eastAsia="en-US"/>
        </w:rPr>
        <w:t>инвестиционно</w:t>
      </w:r>
      <w:proofErr w:type="spellEnd"/>
      <w:r w:rsidRPr="008B6216">
        <w:rPr>
          <w:rFonts w:cs="Times New Roman"/>
          <w:lang w:eastAsia="en-US"/>
        </w:rPr>
        <w:t xml:space="preserve"> значимых или социальных проектов является препятствием повышению уровня доходов бюджета городского округа Электросталь от продажи или передачи в аренду земельных участков.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По состоянию на 01.10.2019 в реестре муниципальной собственности содержатся сведения о трех муниципальных унитарных предприятиях городского округа Электросталь, из которых осуществляют свою деятельность в сфере оказания услуг ЖКХ два предприятия, прочие виды деятельности одно предприятие, а также о 105 (84-бюджетные,5-автономные,16-казенные) муниципальных учреждениях городского округа Электросталь, из которых: 66 – учреждения образования, 12 – учреждения культуры, 10-учреждения спорта, 17 – прочие учреждения. В реестре также содержатся сведения о семи хозяйственных обществах, акции или доли, в уставном капитале которых, находятся в собственности городского округа Электросталь (далее – хозяйственное общество).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Всего в реестре муниципальной собственности содержатся сведения о 51,7 тыс. объектах, в том числе: 40,8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10,9 тыс. объектов недвижимого имущества, составляющих казну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К объектам собственности муниципального образования относятся: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недвижимое имущество (здания, строения, сооружения или объекты незавершенного строительства, земельные участки, жилые и нежилые помещения и иные прочно связанные с землей объекты, перемещение которых невозможно без соразмерного ущерба их назначению, либо иное имущество, отнесенное федеральным законом к объектам недвижимости);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движимое имущество, в том числе акции, доли (вклады) в уставной (складочный капитал) хозяйственных обществ или товариществ либо иное не относящееся к недвижимости имущество, особо ценное движимое имущество, закрепленное за автономными и бюджетными муниципальными учреждениями;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-муниципальные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городскому округу, иные юридические лица, учредителем которых является городской округ.          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Перед Администрацией городского округа Электросталь стоит задача в обеспечении государственной регистрации права собственности городского округа Электросталь на все недвижимое </w:t>
      </w:r>
      <w:proofErr w:type="gramStart"/>
      <w:r w:rsidRPr="008B6216">
        <w:rPr>
          <w:rFonts w:cs="Times New Roman"/>
          <w:lang w:eastAsia="en-US"/>
        </w:rPr>
        <w:t>имущество,  полученное</w:t>
      </w:r>
      <w:proofErr w:type="gramEnd"/>
      <w:r w:rsidRPr="008B6216">
        <w:rPr>
          <w:rFonts w:cs="Times New Roman"/>
          <w:lang w:eastAsia="en-US"/>
        </w:rPr>
        <w:t xml:space="preserve"> ранее в порядке разграничения прав на собственность, так и вновь приобретенное на различных основаниях, как муниципальными унитарными предприятиями, муниципальными учреждениями городского округа Электросталь, так и городским округом Электросталь  – как муниципальным образованием.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Реализация указанной задачи позволит к концу 2024 года за счет средств бюджета городского округа Электросталь в полном объеме зарегистрировать право собственности городского округа Электросталь на все объекты недвижимого имущества, закрепленные на праве оперативного управления за муниципальными учреждениями городского округа Электросталь, а также составляющие казну городского округа Электросталь.</w:t>
      </w:r>
    </w:p>
    <w:p w:rsidR="00EE55C3" w:rsidRPr="008B6216" w:rsidRDefault="00EE55C3" w:rsidP="0086777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</w:t>
      </w:r>
      <w:proofErr w:type="gramStart"/>
      <w:r w:rsidRPr="008B6216">
        <w:rPr>
          <w:rFonts w:ascii="Times New Roman" w:hAnsi="Times New Roman" w:cs="Times New Roman"/>
          <w:sz w:val="24"/>
          <w:szCs w:val="24"/>
        </w:rPr>
        <w:t>Комитетом  имущественных</w:t>
      </w:r>
      <w:proofErr w:type="gramEnd"/>
      <w:r w:rsidRPr="008B6216">
        <w:rPr>
          <w:rFonts w:ascii="Times New Roman" w:hAnsi="Times New Roman" w:cs="Times New Roman"/>
          <w:sz w:val="24"/>
          <w:szCs w:val="24"/>
        </w:rPr>
        <w:t xml:space="preserve"> отношений Московской области проводятся мероприятия по соответствующей оценке имущества.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Переход на программно-целевой метод управления позволит: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lastRenderedPageBreak/>
        <w:t>- оптимизировать управление имуществом и земельными ресурсами, находящимися в собственности городского округа Электросталь, а также земельными участками, собственность на которые не разграничена;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стимулировать дальнейшее развитие рынка земли в городском округе Электросталь;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- оптимизировать количество муниципальных учреждений городского округа Электросталь, а также состав имущества, закрепленного за ними на праве хозяйственного ведения и оперативного управления, изъять излишнее или используемое не по целевому назначению имущество и вовлечь его в хозяйственный оборот.</w:t>
      </w:r>
    </w:p>
    <w:p w:rsidR="00EE55C3" w:rsidRPr="008B6216" w:rsidRDefault="00EE55C3" w:rsidP="0086777A">
      <w:pPr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>Формирование сбалансированного бюджета городского округа Электросталь на очередной финансовый год делает значимой проблему повышения доходности бюджета городского округа Электросталь за счет повышения эффективности управления и распоряжения собственностью городского округа.</w:t>
      </w:r>
    </w:p>
    <w:p w:rsidR="00EE55C3" w:rsidRPr="008B6216" w:rsidRDefault="00EE55C3" w:rsidP="0086777A">
      <w:pPr>
        <w:spacing w:line="240" w:lineRule="exact"/>
        <w:ind w:firstLine="567"/>
        <w:jc w:val="both"/>
        <w:rPr>
          <w:rFonts w:cs="Times New Roman"/>
          <w:b/>
          <w:bCs/>
        </w:rPr>
      </w:pPr>
      <w:r w:rsidRPr="008B6216">
        <w:rPr>
          <w:rFonts w:cs="Times New Roman"/>
          <w:lang w:eastAsia="en-US"/>
        </w:rPr>
        <w:t>Решение поставленной цели достигается путем реализации основных мероприятий, нацеленных на повышение эффективности управления и распоряжения имуществом, находящимся в собственности городского округа Электросталь.</w:t>
      </w:r>
    </w:p>
    <w:p w:rsidR="00EE55C3" w:rsidRPr="008B6216" w:rsidRDefault="00EE55C3" w:rsidP="0086777A">
      <w:pPr>
        <w:widowControl w:val="0"/>
        <w:suppressLineNumbers/>
        <w:suppressAutoHyphens/>
        <w:spacing w:line="240" w:lineRule="exact"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Целью подпрограммы является повышение эффективности управления и распоряжения имуществом, находящимся в собственности городского округа Электросталь. </w:t>
      </w:r>
    </w:p>
    <w:p w:rsidR="00EE55C3" w:rsidRPr="008B6216" w:rsidRDefault="00EE55C3" w:rsidP="0086777A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B6216">
        <w:rPr>
          <w:rFonts w:cs="Times New Roman"/>
          <w:lang w:eastAsia="en-US"/>
        </w:rPr>
        <w:t xml:space="preserve">Достижение поставленной цели приведет к формированию структуры муниципальной собственности и системы управления имуществом, позволяющих обеспечить исполнение Администрацией городского округа Электросталь возложенных на нее функций, максимизировать пополнение доходной части бюджета городского округа Электросталь и снизить расходы городского бюджета на содержание имущества. 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подпрограммы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«Развитие имущественного комплекса»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559"/>
        <w:gridCol w:w="992"/>
        <w:gridCol w:w="992"/>
        <w:gridCol w:w="992"/>
        <w:gridCol w:w="993"/>
        <w:gridCol w:w="992"/>
        <w:gridCol w:w="2201"/>
        <w:gridCol w:w="1701"/>
      </w:tblGrid>
      <w:tr w:rsidR="00483B8A" w:rsidRPr="008B6216" w:rsidTr="00FD661D">
        <w:tc>
          <w:tcPr>
            <w:tcW w:w="426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1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83B8A" w:rsidRPr="008B6216" w:rsidTr="00FD661D">
        <w:tc>
          <w:tcPr>
            <w:tcW w:w="426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1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1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801C8" w:rsidRPr="008B6216" w:rsidTr="00FD661D">
        <w:tc>
          <w:tcPr>
            <w:tcW w:w="426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02. Управление имуществом, находящимся в муниципальной собственности, и выполнение кадастровых работ</w:t>
            </w:r>
          </w:p>
        </w:tc>
        <w:tc>
          <w:tcPr>
            <w:tcW w:w="1267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E801C8" w:rsidRPr="00EB08EE" w:rsidRDefault="00DF5613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359 720,2</w:t>
            </w:r>
          </w:p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1C8" w:rsidRPr="00EB08EE" w:rsidRDefault="002B3567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77 731,3</w:t>
            </w:r>
          </w:p>
        </w:tc>
        <w:tc>
          <w:tcPr>
            <w:tcW w:w="992" w:type="dxa"/>
          </w:tcPr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83 669,8</w:t>
            </w:r>
          </w:p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801C8" w:rsidRPr="00EB08EE" w:rsidRDefault="00E801C8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68 756,9</w:t>
            </w:r>
          </w:p>
        </w:tc>
        <w:tc>
          <w:tcPr>
            <w:tcW w:w="993" w:type="dxa"/>
          </w:tcPr>
          <w:p w:rsidR="00E801C8" w:rsidRPr="008B6216" w:rsidRDefault="00E801C8" w:rsidP="00123022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992" w:type="dxa"/>
          </w:tcPr>
          <w:p w:rsidR="00E801C8" w:rsidRPr="008B6216" w:rsidRDefault="00E801C8" w:rsidP="00123022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2201" w:type="dxa"/>
            <w:vMerge w:val="restart"/>
          </w:tcPr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Управление городского жилищного и коммунального хозяйства,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по строительству, дорожной деятельности и благоустройства, 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E801C8" w:rsidRPr="008B6216" w:rsidRDefault="00E801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«Электростальская коммунальная компания»</w:t>
            </w:r>
          </w:p>
        </w:tc>
        <w:tc>
          <w:tcPr>
            <w:tcW w:w="1701" w:type="dxa"/>
            <w:vMerge w:val="restart"/>
          </w:tcPr>
          <w:p w:rsidR="00E801C8" w:rsidRPr="008B6216" w:rsidRDefault="00E801C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EB08EE" w:rsidRDefault="00DF5613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359 720,2</w:t>
            </w:r>
          </w:p>
          <w:p w:rsidR="00483B8A" w:rsidRPr="00EB08EE" w:rsidRDefault="00483B8A" w:rsidP="00EB08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2B3567" w:rsidP="00483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77 731,3</w:t>
            </w:r>
          </w:p>
        </w:tc>
        <w:tc>
          <w:tcPr>
            <w:tcW w:w="992" w:type="dxa"/>
          </w:tcPr>
          <w:p w:rsidR="00483B8A" w:rsidRPr="00EB08EE" w:rsidRDefault="007D1A4E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83669,8</w:t>
            </w:r>
          </w:p>
          <w:p w:rsidR="00483B8A" w:rsidRPr="00EB08EE" w:rsidRDefault="00483B8A" w:rsidP="004458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483B8A" w:rsidP="00A769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68 756,9</w:t>
            </w:r>
          </w:p>
        </w:tc>
        <w:tc>
          <w:tcPr>
            <w:tcW w:w="993" w:type="dxa"/>
          </w:tcPr>
          <w:p w:rsidR="00483B8A" w:rsidRPr="008B6216" w:rsidRDefault="008A64E4" w:rsidP="00A7699A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992" w:type="dxa"/>
          </w:tcPr>
          <w:p w:rsidR="00483B8A" w:rsidRPr="008B6216" w:rsidRDefault="008A64E4" w:rsidP="00A7699A">
            <w:pPr>
              <w:jc w:val="center"/>
            </w:pPr>
            <w:r>
              <w:rPr>
                <w:rFonts w:cs="Times New Roman"/>
                <w:sz w:val="20"/>
              </w:rPr>
              <w:t>64 781,1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1A4E" w:rsidRPr="008B6216" w:rsidTr="00FD661D">
        <w:tc>
          <w:tcPr>
            <w:tcW w:w="426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02.01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Расходы, связанные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с  владением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, пользованием 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67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D1A4E" w:rsidRPr="00EB08EE" w:rsidRDefault="00A87260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219 982,4</w:t>
            </w:r>
          </w:p>
          <w:p w:rsidR="007D1A4E" w:rsidRPr="00EB08EE" w:rsidRDefault="007D1A4E" w:rsidP="007D1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D1A4E" w:rsidRPr="00EB08EE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50 718,5</w:t>
            </w:r>
          </w:p>
        </w:tc>
        <w:tc>
          <w:tcPr>
            <w:tcW w:w="992" w:type="dxa"/>
          </w:tcPr>
          <w:p w:rsidR="007D1A4E" w:rsidRPr="00EB08EE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53 044,8</w:t>
            </w:r>
          </w:p>
          <w:p w:rsidR="007D1A4E" w:rsidRPr="00EB08EE" w:rsidRDefault="007D1A4E" w:rsidP="007D1A4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40 056,9</w:t>
            </w:r>
          </w:p>
        </w:tc>
        <w:tc>
          <w:tcPr>
            <w:tcW w:w="993" w:type="dxa"/>
          </w:tcPr>
          <w:p w:rsidR="007D1A4E" w:rsidRPr="008B6216" w:rsidRDefault="003B658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38 081,1</w:t>
            </w:r>
          </w:p>
        </w:tc>
        <w:tc>
          <w:tcPr>
            <w:tcW w:w="992" w:type="dxa"/>
          </w:tcPr>
          <w:p w:rsidR="007D1A4E" w:rsidRPr="008B6216" w:rsidRDefault="003B6584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38 081,1</w:t>
            </w:r>
          </w:p>
        </w:tc>
        <w:tc>
          <w:tcPr>
            <w:tcW w:w="22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отношений, 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УГЖКХ,,</w:t>
            </w:r>
            <w:proofErr w:type="gramEnd"/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МБУ «Электростальская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коммунальная компания»,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области»,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Выполнение требований законодательства Российской Федерации к эксплуатации 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зданий и сооружений. Содержание в работоспособном состоянии инженерных сетей зданий, находящихся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 xml:space="preserve">собственности 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городскогоокруга</w:t>
            </w:r>
            <w:proofErr w:type="spellEnd"/>
            <w:proofErr w:type="gramEnd"/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Получение отчетов о рыночной стоимости   имущества в целях его продажи, передачи в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аренду ,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приобретение имущества в собственность городского округа</w:t>
            </w:r>
            <w:r w:rsidRPr="008B6216">
              <w:rPr>
                <w:rFonts w:ascii="Times New Roman" w:hAnsi="Times New Roman" w:cs="Times New Roman"/>
                <w:sz w:val="20"/>
                <w:lang w:eastAsia="en-US"/>
              </w:rPr>
              <w:t>.</w:t>
            </w:r>
          </w:p>
        </w:tc>
      </w:tr>
      <w:tr w:rsidR="006421F9" w:rsidRPr="008B6216" w:rsidTr="00FD661D">
        <w:tc>
          <w:tcPr>
            <w:tcW w:w="426" w:type="dxa"/>
            <w:vMerge/>
          </w:tcPr>
          <w:p w:rsidR="006421F9" w:rsidRPr="008B6216" w:rsidRDefault="006421F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6421F9" w:rsidRPr="008B6216" w:rsidRDefault="006421F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421F9" w:rsidRPr="008B6216" w:rsidRDefault="006421F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1559" w:type="dxa"/>
          </w:tcPr>
          <w:p w:rsidR="006421F9" w:rsidRPr="00EB08EE" w:rsidRDefault="00A8726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219 982,4</w:t>
            </w:r>
          </w:p>
          <w:p w:rsidR="006421F9" w:rsidRPr="00EB08EE" w:rsidRDefault="006421F9" w:rsidP="001230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421F9" w:rsidRPr="00EB08EE" w:rsidRDefault="002B3567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50 718,5</w:t>
            </w:r>
          </w:p>
        </w:tc>
        <w:tc>
          <w:tcPr>
            <w:tcW w:w="992" w:type="dxa"/>
          </w:tcPr>
          <w:p w:rsidR="006421F9" w:rsidRPr="00EB08EE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53 044,8</w:t>
            </w:r>
          </w:p>
          <w:p w:rsidR="006421F9" w:rsidRPr="00EB08EE" w:rsidRDefault="006421F9" w:rsidP="0012302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40 056,9</w:t>
            </w:r>
          </w:p>
        </w:tc>
        <w:tc>
          <w:tcPr>
            <w:tcW w:w="993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38 081,1</w:t>
            </w:r>
          </w:p>
        </w:tc>
        <w:tc>
          <w:tcPr>
            <w:tcW w:w="992" w:type="dxa"/>
          </w:tcPr>
          <w:p w:rsidR="006421F9" w:rsidRPr="008B6216" w:rsidRDefault="006421F9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38 081,1</w:t>
            </w:r>
          </w:p>
        </w:tc>
        <w:tc>
          <w:tcPr>
            <w:tcW w:w="2201" w:type="dxa"/>
            <w:vMerge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6421F9" w:rsidRPr="008B6216" w:rsidRDefault="006421F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D1A4E" w:rsidRPr="008B6216" w:rsidTr="00FD661D">
        <w:tc>
          <w:tcPr>
            <w:tcW w:w="426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02.02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67" w:type="dxa"/>
            <w:vMerge w:val="restart"/>
          </w:tcPr>
          <w:p w:rsidR="007D1A4E" w:rsidRPr="008B6216" w:rsidRDefault="007D1A4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D1A4E" w:rsidRPr="008B6216" w:rsidRDefault="00773462" w:rsidP="007D1A4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135 468,7</w:t>
            </w:r>
          </w:p>
        </w:tc>
        <w:tc>
          <w:tcPr>
            <w:tcW w:w="992" w:type="dxa"/>
          </w:tcPr>
          <w:p w:rsidR="007D1A4E" w:rsidRPr="008B6216" w:rsidRDefault="002B3567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25 503,7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29 965,0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28 000,0</w:t>
            </w:r>
          </w:p>
        </w:tc>
        <w:tc>
          <w:tcPr>
            <w:tcW w:w="993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992" w:type="dxa"/>
          </w:tcPr>
          <w:p w:rsidR="007D1A4E" w:rsidRPr="008B6216" w:rsidRDefault="007D1A4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22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 w:val="restart"/>
          </w:tcPr>
          <w:p w:rsidR="007D1A4E" w:rsidRPr="008B6216" w:rsidRDefault="007D1A4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Выполнение требований законодательства Российской Федерации к эксплуатации зданий и сооружений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135 468,7</w:t>
            </w:r>
          </w:p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8B6216" w:rsidRDefault="00483B8A" w:rsidP="002B356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B3567">
              <w:rPr>
                <w:rFonts w:ascii="Times New Roman" w:hAnsi="Times New Roman" w:cs="Times New Roman"/>
                <w:sz w:val="20"/>
              </w:rPr>
              <w:t>5 503,7</w:t>
            </w:r>
          </w:p>
        </w:tc>
        <w:tc>
          <w:tcPr>
            <w:tcW w:w="992" w:type="dxa"/>
          </w:tcPr>
          <w:p w:rsidR="00483B8A" w:rsidRPr="008B6216" w:rsidRDefault="007D1A4E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29 965,0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28 000,0</w:t>
            </w:r>
          </w:p>
        </w:tc>
        <w:tc>
          <w:tcPr>
            <w:tcW w:w="993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26 000,0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1596E" w:rsidRPr="008B6216" w:rsidTr="00FD661D">
        <w:tc>
          <w:tcPr>
            <w:tcW w:w="426" w:type="dxa"/>
            <w:vMerge w:val="restart"/>
          </w:tcPr>
          <w:p w:rsidR="0031596E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в соответствии с Федеральным законом от 24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июля 2007 г. №221-ФЗ «О государственном кадастре недвижимости» выполнения комплексных кадастровых работ и утверждение карты-плана территории</w:t>
            </w:r>
          </w:p>
        </w:tc>
        <w:tc>
          <w:tcPr>
            <w:tcW w:w="1267" w:type="dxa"/>
            <w:vMerge w:val="restart"/>
          </w:tcPr>
          <w:p w:rsidR="0031596E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31596E" w:rsidRPr="008B6216" w:rsidRDefault="0031596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773462">
              <w:rPr>
                <w:rFonts w:ascii="Times New Roman" w:hAnsi="Times New Roman" w:cs="Times New Roman"/>
                <w:sz w:val="20"/>
              </w:rPr>
              <w:t> 269,1</w:t>
            </w:r>
          </w:p>
        </w:tc>
        <w:tc>
          <w:tcPr>
            <w:tcW w:w="992" w:type="dxa"/>
          </w:tcPr>
          <w:p w:rsidR="0031596E" w:rsidRPr="008B6216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1 509,1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660,0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31596E" w:rsidRPr="008B6216" w:rsidRDefault="0031596E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2201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 xml:space="preserve">городского округа Электросталь </w:t>
            </w:r>
            <w:r w:rsidR="007D50FD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701" w:type="dxa"/>
            <w:vMerge w:val="restart"/>
          </w:tcPr>
          <w:p w:rsidR="0031596E" w:rsidRPr="008B6216" w:rsidRDefault="0031596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Подготовка технических планов на объекты недвижимости, в отношении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которых осуществляется государственный кадастровый учет. Постановка на государственный кадастровый учет земельных участков. 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559" w:type="dxa"/>
          </w:tcPr>
          <w:p w:rsidR="00483B8A" w:rsidRPr="008B6216" w:rsidRDefault="0031596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  <w:r w:rsidR="00773462">
              <w:rPr>
                <w:rFonts w:ascii="Times New Roman" w:hAnsi="Times New Roman" w:cs="Times New Roman"/>
                <w:sz w:val="20"/>
              </w:rPr>
              <w:t> 269,1</w:t>
            </w:r>
          </w:p>
        </w:tc>
        <w:tc>
          <w:tcPr>
            <w:tcW w:w="992" w:type="dxa"/>
          </w:tcPr>
          <w:p w:rsidR="00483B8A" w:rsidRPr="008B6216" w:rsidRDefault="002B3567" w:rsidP="00483B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1 509,1</w:t>
            </w:r>
          </w:p>
        </w:tc>
        <w:tc>
          <w:tcPr>
            <w:tcW w:w="992" w:type="dxa"/>
          </w:tcPr>
          <w:p w:rsidR="00483B8A" w:rsidRPr="008B6216" w:rsidRDefault="0031596E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660,0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3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992" w:type="dxa"/>
          </w:tcPr>
          <w:p w:rsidR="00483B8A" w:rsidRPr="008B6216" w:rsidRDefault="00483B8A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700,0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3B8A" w:rsidRPr="008B6216" w:rsidTr="00FD661D">
        <w:tc>
          <w:tcPr>
            <w:tcW w:w="426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83B8A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483B8A" w:rsidRPr="008B6216" w:rsidRDefault="002B35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483B8A" w:rsidRPr="008B6216" w:rsidRDefault="00483B8A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483B8A" w:rsidRPr="008B6216" w:rsidRDefault="00483B8A" w:rsidP="007B26A8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2201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</w:t>
            </w:r>
          </w:p>
          <w:p w:rsidR="00483B8A" w:rsidRPr="008B6216" w:rsidRDefault="00483B8A" w:rsidP="007D50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отношений 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D95693" w:rsidRDefault="00483B8A" w:rsidP="007E49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95693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="00D95693" w:rsidRPr="00D95693">
              <w:rPr>
                <w:rFonts w:ascii="Times New Roman" w:hAnsi="Times New Roman" w:cs="Times New Roman"/>
                <w:sz w:val="20"/>
              </w:rPr>
              <w:t xml:space="preserve">городского округа Электросталь </w:t>
            </w:r>
            <w:r w:rsidRPr="00D95693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559" w:type="dxa"/>
          </w:tcPr>
          <w:p w:rsidR="00483B8A" w:rsidRPr="008B6216" w:rsidRDefault="005D24EE" w:rsidP="007734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</w:t>
            </w:r>
            <w:r w:rsidR="00773462">
              <w:rPr>
                <w:rFonts w:ascii="Times New Roman" w:hAnsi="Times New Roman" w:cs="Times New Roman"/>
                <w:sz w:val="20"/>
              </w:rPr>
              <w:t> 821,0</w:t>
            </w:r>
          </w:p>
        </w:tc>
        <w:tc>
          <w:tcPr>
            <w:tcW w:w="992" w:type="dxa"/>
          </w:tcPr>
          <w:p w:rsidR="00483B8A" w:rsidRPr="008B6216" w:rsidRDefault="002B35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483B8A" w:rsidRPr="008B6216" w:rsidRDefault="00483B8A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95693" w:rsidRPr="008B6216" w:rsidTr="00FD661D">
        <w:tc>
          <w:tcPr>
            <w:tcW w:w="426" w:type="dxa"/>
            <w:vMerge/>
          </w:tcPr>
          <w:p w:rsidR="00D95693" w:rsidRPr="008B6216" w:rsidRDefault="00D9569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D95693" w:rsidRPr="008B6216" w:rsidRDefault="00D9569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D95693" w:rsidRPr="008B6216" w:rsidRDefault="00D9569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D95693" w:rsidRPr="008B6216" w:rsidRDefault="00D95693" w:rsidP="00D95693">
            <w:r w:rsidRPr="008B6216">
              <w:rPr>
                <w:rFonts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D95693" w:rsidRPr="008B6216" w:rsidRDefault="00D95693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1 634,8</w:t>
            </w:r>
          </w:p>
        </w:tc>
        <w:tc>
          <w:tcPr>
            <w:tcW w:w="992" w:type="dxa"/>
          </w:tcPr>
          <w:p w:rsidR="00D95693" w:rsidRPr="008B6216" w:rsidRDefault="00D95693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D95693" w:rsidRPr="008B6216" w:rsidRDefault="00D95693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D95693" w:rsidRPr="00D95693" w:rsidRDefault="00D95693" w:rsidP="003810C0">
            <w:pPr>
              <w:jc w:val="center"/>
              <w:rPr>
                <w:sz w:val="20"/>
                <w:szCs w:val="20"/>
              </w:rPr>
            </w:pPr>
            <w:r w:rsidRPr="00D95693">
              <w:rPr>
                <w:sz w:val="20"/>
                <w:szCs w:val="20"/>
              </w:rPr>
              <w:t>408,7</w:t>
            </w:r>
          </w:p>
        </w:tc>
        <w:tc>
          <w:tcPr>
            <w:tcW w:w="993" w:type="dxa"/>
          </w:tcPr>
          <w:p w:rsidR="00D95693" w:rsidRPr="00D95693" w:rsidRDefault="00D95693" w:rsidP="003810C0">
            <w:pPr>
              <w:jc w:val="center"/>
              <w:rPr>
                <w:sz w:val="20"/>
                <w:szCs w:val="20"/>
              </w:rPr>
            </w:pPr>
            <w:r w:rsidRPr="00D95693">
              <w:rPr>
                <w:sz w:val="20"/>
                <w:szCs w:val="20"/>
              </w:rPr>
              <w:t>408,7</w:t>
            </w:r>
          </w:p>
        </w:tc>
        <w:tc>
          <w:tcPr>
            <w:tcW w:w="992" w:type="dxa"/>
          </w:tcPr>
          <w:p w:rsidR="00D95693" w:rsidRPr="00D95693" w:rsidRDefault="00D95693" w:rsidP="003810C0">
            <w:pPr>
              <w:jc w:val="center"/>
              <w:rPr>
                <w:sz w:val="20"/>
                <w:szCs w:val="20"/>
              </w:rPr>
            </w:pPr>
            <w:r w:rsidRPr="00D95693">
              <w:rPr>
                <w:sz w:val="20"/>
                <w:szCs w:val="20"/>
              </w:rPr>
              <w:t>408,7</w:t>
            </w:r>
          </w:p>
        </w:tc>
        <w:tc>
          <w:tcPr>
            <w:tcW w:w="2201" w:type="dxa"/>
            <w:vMerge/>
          </w:tcPr>
          <w:p w:rsidR="00D95693" w:rsidRPr="008B6216" w:rsidRDefault="00D9569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D95693" w:rsidRPr="008B6216" w:rsidRDefault="00D9569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3462" w:rsidRPr="008B6216" w:rsidTr="00FD661D">
        <w:tc>
          <w:tcPr>
            <w:tcW w:w="426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1769" w:type="dxa"/>
            <w:vMerge w:val="restart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03.01 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1267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10" w:type="dxa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21 455,8</w:t>
            </w:r>
          </w:p>
        </w:tc>
        <w:tc>
          <w:tcPr>
            <w:tcW w:w="992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3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4 344,7</w:t>
            </w:r>
          </w:p>
        </w:tc>
        <w:tc>
          <w:tcPr>
            <w:tcW w:w="22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3462" w:rsidRPr="008B6216" w:rsidTr="00FD661D">
        <w:tc>
          <w:tcPr>
            <w:tcW w:w="426" w:type="dxa"/>
            <w:vMerge/>
          </w:tcPr>
          <w:p w:rsidR="00773462" w:rsidRPr="008B6216" w:rsidRDefault="00773462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73462" w:rsidRPr="008B6216" w:rsidRDefault="00773462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73462" w:rsidRPr="008B6216" w:rsidRDefault="00773462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73462" w:rsidRPr="008B6216" w:rsidRDefault="00773462" w:rsidP="007E49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773462" w:rsidRPr="008B6216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773462" w:rsidRPr="008B6216" w:rsidRDefault="00773462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22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0680" w:rsidRPr="008B6216" w:rsidTr="00FD661D">
        <w:tc>
          <w:tcPr>
            <w:tcW w:w="426" w:type="dxa"/>
            <w:vMerge/>
          </w:tcPr>
          <w:p w:rsidR="00190680" w:rsidRPr="008B6216" w:rsidRDefault="0019068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190680" w:rsidRPr="008B6216" w:rsidRDefault="0019068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190680" w:rsidRPr="008B6216" w:rsidRDefault="0019068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90680" w:rsidRPr="008B6216" w:rsidRDefault="00190680" w:rsidP="00EA036C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1 634,8</w:t>
            </w:r>
          </w:p>
        </w:tc>
        <w:tc>
          <w:tcPr>
            <w:tcW w:w="992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408,7</w:t>
            </w:r>
          </w:p>
        </w:tc>
        <w:tc>
          <w:tcPr>
            <w:tcW w:w="992" w:type="dxa"/>
          </w:tcPr>
          <w:p w:rsidR="00190680" w:rsidRPr="008B6216" w:rsidRDefault="00190680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408,7</w:t>
            </w:r>
          </w:p>
        </w:tc>
        <w:tc>
          <w:tcPr>
            <w:tcW w:w="993" w:type="dxa"/>
          </w:tcPr>
          <w:p w:rsidR="00190680" w:rsidRPr="005D24EE" w:rsidRDefault="00190680" w:rsidP="00D94C25">
            <w:pPr>
              <w:jc w:val="center"/>
              <w:rPr>
                <w:sz w:val="20"/>
                <w:szCs w:val="20"/>
              </w:rPr>
            </w:pPr>
            <w:r w:rsidRPr="005D24EE">
              <w:rPr>
                <w:sz w:val="20"/>
                <w:szCs w:val="20"/>
              </w:rPr>
              <w:t>408,7</w:t>
            </w:r>
          </w:p>
        </w:tc>
        <w:tc>
          <w:tcPr>
            <w:tcW w:w="992" w:type="dxa"/>
          </w:tcPr>
          <w:p w:rsidR="00190680" w:rsidRPr="005D24EE" w:rsidRDefault="00190680" w:rsidP="00D94C25">
            <w:pPr>
              <w:jc w:val="center"/>
              <w:rPr>
                <w:sz w:val="20"/>
                <w:szCs w:val="20"/>
              </w:rPr>
            </w:pPr>
            <w:r w:rsidRPr="005D24EE">
              <w:rPr>
                <w:sz w:val="20"/>
                <w:szCs w:val="20"/>
              </w:rPr>
              <w:t>408,7</w:t>
            </w:r>
          </w:p>
        </w:tc>
        <w:tc>
          <w:tcPr>
            <w:tcW w:w="2201" w:type="dxa"/>
            <w:vMerge/>
          </w:tcPr>
          <w:p w:rsidR="00190680" w:rsidRPr="008B6216" w:rsidRDefault="0019068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190680" w:rsidRPr="008B6216" w:rsidRDefault="0019068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05212" w:rsidRPr="008B6216" w:rsidTr="00FD661D">
        <w:tc>
          <w:tcPr>
            <w:tcW w:w="426" w:type="dxa"/>
            <w:vMerge w:val="restart"/>
          </w:tcPr>
          <w:p w:rsidR="00705212" w:rsidRPr="008B6216" w:rsidRDefault="0070521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1769" w:type="dxa"/>
            <w:vMerge w:val="restart"/>
          </w:tcPr>
          <w:p w:rsidR="00705212" w:rsidRPr="008B6216" w:rsidRDefault="0070521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07.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705212" w:rsidRPr="008B6216" w:rsidRDefault="0070521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05212" w:rsidRPr="008B6216" w:rsidRDefault="0070521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05212" w:rsidRPr="00EB08EE" w:rsidRDefault="0077346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152 640,1</w:t>
            </w:r>
          </w:p>
          <w:p w:rsidR="00705212" w:rsidRPr="00EB08EE" w:rsidRDefault="0070521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5212" w:rsidRPr="00EB08EE" w:rsidRDefault="002B3567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705212" w:rsidRPr="00EB08EE" w:rsidRDefault="0070521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31 552,9</w:t>
            </w:r>
          </w:p>
          <w:p w:rsidR="00705212" w:rsidRPr="00EB08EE" w:rsidRDefault="0070521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05212" w:rsidRPr="00EB08EE" w:rsidRDefault="0070521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705212" w:rsidRPr="008B6216" w:rsidRDefault="00705212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705212" w:rsidRPr="008B6216" w:rsidRDefault="00705212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 w:val="restart"/>
          </w:tcPr>
          <w:p w:rsidR="00705212" w:rsidRPr="008B6216" w:rsidRDefault="00705212" w:rsidP="007D50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705212" w:rsidRPr="008B6216" w:rsidRDefault="0070521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имущественных отношений</w:t>
            </w:r>
            <w:r w:rsidR="001C2EF3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D50FD" w:rsidRPr="008B6216">
              <w:rPr>
                <w:rFonts w:ascii="Times New Roman" w:hAnsi="Times New Roman" w:cs="Times New Roman"/>
                <w:sz w:val="20"/>
              </w:rPr>
              <w:t xml:space="preserve">Администрации </w:t>
            </w:r>
            <w:r w:rsidR="007D50FD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</w:tr>
      <w:tr w:rsidR="00483B8A" w:rsidRPr="008B6216" w:rsidTr="00FD661D">
        <w:tc>
          <w:tcPr>
            <w:tcW w:w="426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3B8A" w:rsidRPr="008B6216" w:rsidRDefault="00483B8A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3B8A" w:rsidRPr="008B6216" w:rsidRDefault="00483B8A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483B8A" w:rsidRPr="00EB08EE" w:rsidRDefault="00773462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152 640,1</w:t>
            </w:r>
          </w:p>
          <w:p w:rsidR="00483B8A" w:rsidRPr="00EB08EE" w:rsidRDefault="00483B8A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2B35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483B8A" w:rsidRPr="00EB08EE" w:rsidRDefault="00705212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31 552,9</w:t>
            </w:r>
          </w:p>
          <w:p w:rsidR="00483B8A" w:rsidRPr="00EB08EE" w:rsidRDefault="00483B8A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483B8A" w:rsidRPr="00EB08EE" w:rsidRDefault="00483B8A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483B8A" w:rsidRPr="008B6216" w:rsidRDefault="00483B8A" w:rsidP="007E4970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483B8A" w:rsidRPr="008B6216" w:rsidRDefault="00483B8A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3462" w:rsidRPr="008B6216" w:rsidTr="00FD661D">
        <w:tc>
          <w:tcPr>
            <w:tcW w:w="426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</w:t>
            </w:r>
          </w:p>
        </w:tc>
        <w:tc>
          <w:tcPr>
            <w:tcW w:w="1769" w:type="dxa"/>
            <w:vMerge w:val="restart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07.01 Обеспечение деятельности муниципальных органов в сфере земельно-имущественных отношений</w:t>
            </w:r>
          </w:p>
        </w:tc>
        <w:tc>
          <w:tcPr>
            <w:tcW w:w="1267" w:type="dxa"/>
            <w:vMerge w:val="restart"/>
          </w:tcPr>
          <w:p w:rsidR="00773462" w:rsidRPr="008B6216" w:rsidRDefault="00773462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773462" w:rsidRPr="00EB08EE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152 640,1</w:t>
            </w:r>
          </w:p>
          <w:p w:rsidR="00773462" w:rsidRPr="00EB08EE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73462" w:rsidRPr="00EB08EE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773462" w:rsidRPr="00EB08EE" w:rsidRDefault="0077346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31 552,9</w:t>
            </w:r>
          </w:p>
          <w:p w:rsidR="00773462" w:rsidRPr="00EB08EE" w:rsidRDefault="0077346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73462" w:rsidRPr="00EB08EE" w:rsidRDefault="0077346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773462" w:rsidRPr="008B6216" w:rsidRDefault="00773462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773462" w:rsidRPr="008B6216" w:rsidRDefault="00773462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3462" w:rsidRPr="008B6216" w:rsidTr="00FD661D">
        <w:tc>
          <w:tcPr>
            <w:tcW w:w="426" w:type="dxa"/>
            <w:vMerge/>
          </w:tcPr>
          <w:p w:rsidR="00773462" w:rsidRPr="008B6216" w:rsidRDefault="00773462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773462" w:rsidRPr="008B6216" w:rsidRDefault="00773462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773462" w:rsidRPr="008B6216" w:rsidRDefault="00773462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773462" w:rsidRPr="00EB08EE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152 640,1</w:t>
            </w:r>
          </w:p>
          <w:p w:rsidR="00773462" w:rsidRPr="00EB08EE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73462" w:rsidRPr="00EB08EE" w:rsidRDefault="00773462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29 106,8</w:t>
            </w:r>
          </w:p>
        </w:tc>
        <w:tc>
          <w:tcPr>
            <w:tcW w:w="992" w:type="dxa"/>
          </w:tcPr>
          <w:p w:rsidR="00773462" w:rsidRPr="00EB08EE" w:rsidRDefault="0077346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31 552,9</w:t>
            </w:r>
          </w:p>
          <w:p w:rsidR="00773462" w:rsidRPr="00EB08EE" w:rsidRDefault="0077346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773462" w:rsidRPr="00EB08EE" w:rsidRDefault="00773462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30 121,0</w:t>
            </w:r>
          </w:p>
        </w:tc>
        <w:tc>
          <w:tcPr>
            <w:tcW w:w="993" w:type="dxa"/>
          </w:tcPr>
          <w:p w:rsidR="00773462" w:rsidRPr="008B6216" w:rsidRDefault="00773462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992" w:type="dxa"/>
          </w:tcPr>
          <w:p w:rsidR="00773462" w:rsidRPr="008B6216" w:rsidRDefault="00773462" w:rsidP="002C6FCF">
            <w:pPr>
              <w:jc w:val="center"/>
            </w:pPr>
            <w:r w:rsidRPr="008B6216">
              <w:rPr>
                <w:rFonts w:cs="Times New Roman"/>
                <w:sz w:val="20"/>
              </w:rPr>
              <w:t>30 929,7</w:t>
            </w:r>
          </w:p>
        </w:tc>
        <w:tc>
          <w:tcPr>
            <w:tcW w:w="22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73462" w:rsidRPr="008B6216" w:rsidRDefault="00773462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90680" w:rsidRPr="008B6216" w:rsidTr="00FD661D">
        <w:tc>
          <w:tcPr>
            <w:tcW w:w="426" w:type="dxa"/>
            <w:vMerge w:val="restart"/>
          </w:tcPr>
          <w:p w:rsidR="00190680" w:rsidRPr="008B6216" w:rsidRDefault="00190680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190680" w:rsidRPr="008B6216" w:rsidRDefault="00190680" w:rsidP="00591EC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67" w:type="dxa"/>
            <w:vMerge w:val="restart"/>
          </w:tcPr>
          <w:p w:rsidR="00190680" w:rsidRPr="008B6216" w:rsidRDefault="00190680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190680" w:rsidRPr="008B6216" w:rsidRDefault="00190680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190680" w:rsidRPr="005D24EE" w:rsidRDefault="00773462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533 816,1</w:t>
            </w:r>
          </w:p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90680" w:rsidRPr="008B6216" w:rsidRDefault="00773462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110 915,1</w:t>
            </w:r>
          </w:p>
        </w:tc>
        <w:tc>
          <w:tcPr>
            <w:tcW w:w="992" w:type="dxa"/>
          </w:tcPr>
          <w:p w:rsidR="00190680" w:rsidRPr="00A23FA9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119 567,4</w:t>
            </w:r>
          </w:p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103 222,6</w:t>
            </w:r>
          </w:p>
        </w:tc>
        <w:tc>
          <w:tcPr>
            <w:tcW w:w="993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100 055,5</w:t>
            </w:r>
          </w:p>
        </w:tc>
        <w:tc>
          <w:tcPr>
            <w:tcW w:w="992" w:type="dxa"/>
          </w:tcPr>
          <w:p w:rsidR="00190680" w:rsidRPr="008B6216" w:rsidRDefault="00190680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100 055,5</w:t>
            </w:r>
          </w:p>
        </w:tc>
        <w:tc>
          <w:tcPr>
            <w:tcW w:w="3902" w:type="dxa"/>
            <w:gridSpan w:val="2"/>
            <w:vMerge w:val="restart"/>
          </w:tcPr>
          <w:p w:rsidR="00190680" w:rsidRPr="008B6216" w:rsidRDefault="00190680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3D" w:rsidRPr="008B6216" w:rsidTr="00FD661D">
        <w:tc>
          <w:tcPr>
            <w:tcW w:w="426" w:type="dxa"/>
            <w:vMerge/>
          </w:tcPr>
          <w:p w:rsidR="00CF483D" w:rsidRPr="008B6216" w:rsidRDefault="00CF483D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F483D" w:rsidRPr="008B6216" w:rsidRDefault="00CF483D" w:rsidP="00591E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F483D" w:rsidRPr="008B6216" w:rsidRDefault="00CF483D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F483D" w:rsidRPr="008B6216" w:rsidRDefault="00CF483D" w:rsidP="003810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559" w:type="dxa"/>
          </w:tcPr>
          <w:p w:rsidR="00CF483D" w:rsidRPr="005D24EE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513 995,1</w:t>
            </w:r>
          </w:p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106 838,1</w:t>
            </w:r>
          </w:p>
        </w:tc>
        <w:tc>
          <w:tcPr>
            <w:tcW w:w="992" w:type="dxa"/>
          </w:tcPr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115 631,4</w:t>
            </w:r>
          </w:p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99 286,6</w:t>
            </w:r>
          </w:p>
        </w:tc>
        <w:tc>
          <w:tcPr>
            <w:tcW w:w="993" w:type="dxa"/>
          </w:tcPr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96 119,5</w:t>
            </w:r>
          </w:p>
        </w:tc>
        <w:tc>
          <w:tcPr>
            <w:tcW w:w="992" w:type="dxa"/>
          </w:tcPr>
          <w:p w:rsidR="00CF483D" w:rsidRPr="008B6216" w:rsidRDefault="00CF483D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96 119,5</w:t>
            </w:r>
          </w:p>
        </w:tc>
        <w:tc>
          <w:tcPr>
            <w:tcW w:w="3902" w:type="dxa"/>
            <w:gridSpan w:val="2"/>
            <w:vMerge/>
          </w:tcPr>
          <w:p w:rsidR="00CF483D" w:rsidRPr="008B6216" w:rsidRDefault="00CF483D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483D" w:rsidRPr="008B6216" w:rsidTr="00FD661D">
        <w:tc>
          <w:tcPr>
            <w:tcW w:w="426" w:type="dxa"/>
            <w:vMerge/>
          </w:tcPr>
          <w:p w:rsidR="00CF483D" w:rsidRPr="008B6216" w:rsidRDefault="00CF483D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CF483D" w:rsidRPr="008B6216" w:rsidRDefault="00CF483D" w:rsidP="00591EC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CF483D" w:rsidRPr="008B6216" w:rsidRDefault="00CF483D" w:rsidP="00591E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F483D" w:rsidRPr="008B6216" w:rsidRDefault="00CF483D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559" w:type="dxa"/>
          </w:tcPr>
          <w:p w:rsidR="00CF483D" w:rsidRPr="008B6216" w:rsidRDefault="00CF483D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19 821,0</w:t>
            </w:r>
          </w:p>
        </w:tc>
        <w:tc>
          <w:tcPr>
            <w:tcW w:w="992" w:type="dxa"/>
          </w:tcPr>
          <w:p w:rsidR="00CF483D" w:rsidRPr="008B6216" w:rsidRDefault="00CF483D" w:rsidP="00601EE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4 077,0</w:t>
            </w:r>
          </w:p>
        </w:tc>
        <w:tc>
          <w:tcPr>
            <w:tcW w:w="992" w:type="dxa"/>
          </w:tcPr>
          <w:p w:rsidR="00CF483D" w:rsidRPr="008B6216" w:rsidRDefault="00CF483D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CF483D" w:rsidRPr="008B6216" w:rsidRDefault="00CF483D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3" w:type="dxa"/>
          </w:tcPr>
          <w:p w:rsidR="00CF483D" w:rsidRPr="008B6216" w:rsidRDefault="00CF483D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992" w:type="dxa"/>
          </w:tcPr>
          <w:p w:rsidR="00CF483D" w:rsidRPr="008B6216" w:rsidRDefault="00CF483D" w:rsidP="00D94C25">
            <w:pPr>
              <w:jc w:val="center"/>
            </w:pPr>
            <w:r w:rsidRPr="008B6216">
              <w:rPr>
                <w:rFonts w:cs="Times New Roman"/>
                <w:sz w:val="20"/>
              </w:rPr>
              <w:t>3 936,0</w:t>
            </w:r>
          </w:p>
        </w:tc>
        <w:tc>
          <w:tcPr>
            <w:tcW w:w="3902" w:type="dxa"/>
            <w:gridSpan w:val="2"/>
            <w:vMerge/>
          </w:tcPr>
          <w:p w:rsidR="00CF483D" w:rsidRPr="008B6216" w:rsidRDefault="00CF483D" w:rsidP="00591EC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  <w:lang w:val="en-US"/>
        </w:rPr>
      </w:pPr>
    </w:p>
    <w:p w:rsidR="00EE55C3" w:rsidRPr="008B6216" w:rsidRDefault="00EE55C3" w:rsidP="00EE55C3">
      <w:pPr>
        <w:spacing w:after="160" w:line="259" w:lineRule="auto"/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№2</w:t>
      </w:r>
    </w:p>
    <w:p w:rsidR="00EE55C3" w:rsidRPr="008B6216" w:rsidRDefault="00EE55C3" w:rsidP="00EE55C3">
      <w:pPr>
        <w:autoSpaceDE w:val="0"/>
        <w:autoSpaceDN w:val="0"/>
        <w:adjustRightInd w:val="0"/>
        <w:ind w:left="9639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 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383CF9" w:rsidRPr="002618A2" w:rsidRDefault="00383CF9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383CF9" w:rsidRPr="002618A2" w:rsidRDefault="00383CF9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383CF9" w:rsidRPr="002618A2" w:rsidTr="00EB6DE6">
        <w:tc>
          <w:tcPr>
            <w:tcW w:w="4478" w:type="dxa"/>
          </w:tcPr>
          <w:p w:rsidR="00383CF9" w:rsidRPr="002618A2" w:rsidRDefault="00383CF9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</w:t>
            </w:r>
            <w:r w:rsidR="00E91DB1">
              <w:rPr>
                <w:rFonts w:ascii="Times New Roman" w:hAnsi="Times New Roman" w:cs="Times New Roman"/>
                <w:szCs w:val="22"/>
              </w:rPr>
              <w:t> </w:t>
            </w:r>
            <w:r w:rsidRPr="001248C6">
              <w:rPr>
                <w:rFonts w:ascii="Times New Roman" w:hAnsi="Times New Roman" w:cs="Times New Roman"/>
                <w:szCs w:val="22"/>
              </w:rPr>
              <w:t>5</w:t>
            </w:r>
            <w:r w:rsidR="00E91DB1"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226" w:type="dxa"/>
          </w:tcPr>
          <w:p w:rsidR="00383CF9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880,0</w:t>
            </w:r>
          </w:p>
        </w:tc>
        <w:tc>
          <w:tcPr>
            <w:tcW w:w="1276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1 597,0</w:t>
            </w:r>
          </w:p>
        </w:tc>
        <w:tc>
          <w:tcPr>
            <w:tcW w:w="1276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1 378,6</w:t>
            </w:r>
          </w:p>
        </w:tc>
        <w:tc>
          <w:tcPr>
            <w:tcW w:w="1275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1332" w:type="dxa"/>
          </w:tcPr>
          <w:p w:rsidR="00383CF9" w:rsidRPr="001248C6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3204" w:type="dxa"/>
            <w:vMerge w:val="restart"/>
          </w:tcPr>
          <w:p w:rsidR="00383CF9" w:rsidRPr="002618A2" w:rsidRDefault="00383CF9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E91DB1" w:rsidRPr="002618A2" w:rsidTr="00EB6DE6">
        <w:tc>
          <w:tcPr>
            <w:tcW w:w="4478" w:type="dxa"/>
          </w:tcPr>
          <w:p w:rsidR="00E91DB1" w:rsidRPr="002618A2" w:rsidRDefault="00E91DB1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91DB1" w:rsidRPr="001248C6" w:rsidRDefault="00E91DB1" w:rsidP="003810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1248C6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96,8</w:t>
            </w:r>
          </w:p>
        </w:tc>
        <w:tc>
          <w:tcPr>
            <w:tcW w:w="1226" w:type="dxa"/>
          </w:tcPr>
          <w:p w:rsidR="00E91DB1" w:rsidRPr="001248C6" w:rsidRDefault="00E91DB1" w:rsidP="003810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880,0</w:t>
            </w:r>
          </w:p>
        </w:tc>
        <w:tc>
          <w:tcPr>
            <w:tcW w:w="1276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1 597,0</w:t>
            </w:r>
          </w:p>
        </w:tc>
        <w:tc>
          <w:tcPr>
            <w:tcW w:w="1276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1 378,6</w:t>
            </w:r>
          </w:p>
        </w:tc>
        <w:tc>
          <w:tcPr>
            <w:tcW w:w="1275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1332" w:type="dxa"/>
          </w:tcPr>
          <w:p w:rsidR="00E91DB1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1 370,6</w:t>
            </w:r>
          </w:p>
        </w:tc>
        <w:tc>
          <w:tcPr>
            <w:tcW w:w="3204" w:type="dxa"/>
            <w:vMerge/>
          </w:tcPr>
          <w:p w:rsidR="00E91DB1" w:rsidRPr="002618A2" w:rsidRDefault="00E91DB1" w:rsidP="00EB6DE6">
            <w:pPr>
              <w:rPr>
                <w:rFonts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91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4</w:t>
            </w:r>
            <w:r w:rsidR="00E91DB1">
              <w:rPr>
                <w:rFonts w:ascii="Times New Roman" w:hAnsi="Times New Roman" w:cs="Times New Roman"/>
                <w:szCs w:val="22"/>
              </w:rPr>
              <w:t> </w:t>
            </w:r>
            <w:r w:rsidRPr="001248C6">
              <w:rPr>
                <w:rFonts w:ascii="Times New Roman" w:hAnsi="Times New Roman" w:cs="Times New Roman"/>
                <w:szCs w:val="22"/>
              </w:rPr>
              <w:t>9</w:t>
            </w:r>
            <w:r w:rsidR="00E91DB1">
              <w:rPr>
                <w:rFonts w:ascii="Times New Roman" w:hAnsi="Times New Roman" w:cs="Times New Roman"/>
                <w:szCs w:val="22"/>
              </w:rPr>
              <w:t>64,2</w:t>
            </w:r>
          </w:p>
        </w:tc>
        <w:tc>
          <w:tcPr>
            <w:tcW w:w="1226" w:type="dxa"/>
          </w:tcPr>
          <w:p w:rsidR="001248C6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1 117,0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1 048,6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91D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4</w:t>
            </w:r>
            <w:r w:rsidR="00E91DB1">
              <w:rPr>
                <w:rFonts w:ascii="Times New Roman" w:hAnsi="Times New Roman" w:cs="Times New Roman"/>
                <w:szCs w:val="22"/>
              </w:rPr>
              <w:t> 964,2</w:t>
            </w:r>
          </w:p>
        </w:tc>
        <w:tc>
          <w:tcPr>
            <w:tcW w:w="1226" w:type="dxa"/>
          </w:tcPr>
          <w:p w:rsidR="001248C6" w:rsidRPr="001248C6" w:rsidRDefault="00E91DB1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717,4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1 117,0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1 048,6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1 040,6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332,0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332,0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12,0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 xml:space="preserve">Комитет по строительству, дорожной деятельности и благоустройства </w:t>
            </w:r>
            <w:proofErr w:type="gramStart"/>
            <w:r w:rsidRPr="001248C6">
              <w:rPr>
                <w:rFonts w:ascii="Times New Roman" w:hAnsi="Times New Roman" w:cs="Times New Roman"/>
                <w:szCs w:val="22"/>
              </w:rPr>
              <w:lastRenderedPageBreak/>
              <w:t>Администрации  городского</w:t>
            </w:r>
            <w:proofErr w:type="gramEnd"/>
            <w:r w:rsidRPr="001248C6">
              <w:rPr>
                <w:rFonts w:ascii="Times New Roman" w:hAnsi="Times New Roman" w:cs="Times New Roman"/>
                <w:szCs w:val="22"/>
              </w:rPr>
              <w:t xml:space="preserve">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</w:t>
            </w:r>
            <w:r w:rsidRPr="002618A2">
              <w:rPr>
                <w:rFonts w:ascii="Times New Roman" w:hAnsi="Times New Roman" w:cs="Times New Roman"/>
                <w:szCs w:val="22"/>
              </w:rPr>
              <w:lastRenderedPageBreak/>
              <w:t xml:space="preserve">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lastRenderedPageBreak/>
              <w:t>18,7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18,7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868,5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68,5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868,5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68,5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213,4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213,4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63,4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150,0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образования Администрации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200,0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sz w:val="22"/>
                <w:szCs w:val="22"/>
              </w:rPr>
              <w:t>0</w:t>
            </w:r>
          </w:p>
        </w:tc>
        <w:tc>
          <w:tcPr>
            <w:tcW w:w="3204" w:type="dxa"/>
            <w:vMerge w:val="restart"/>
          </w:tcPr>
          <w:p w:rsidR="001248C6" w:rsidRPr="001248C6" w:rsidRDefault="001248C6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Управление по физической культуре и спорту Администрация городского округа Электросталь Московской области</w:t>
            </w:r>
          </w:p>
        </w:tc>
      </w:tr>
      <w:tr w:rsidR="001248C6" w:rsidRPr="002618A2" w:rsidTr="00EB6DE6">
        <w:tc>
          <w:tcPr>
            <w:tcW w:w="4478" w:type="dxa"/>
            <w:vAlign w:val="center"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1248C6" w:rsidRPr="001248C6" w:rsidRDefault="001248C6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2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1332" w:type="dxa"/>
          </w:tcPr>
          <w:p w:rsidR="001248C6" w:rsidRPr="001248C6" w:rsidRDefault="001248C6" w:rsidP="00EB6DE6">
            <w:pPr>
              <w:jc w:val="center"/>
              <w:rPr>
                <w:sz w:val="22"/>
                <w:szCs w:val="22"/>
              </w:rPr>
            </w:pPr>
            <w:r w:rsidRPr="001248C6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3204" w:type="dxa"/>
            <w:vMerge/>
          </w:tcPr>
          <w:p w:rsidR="001248C6" w:rsidRPr="002618A2" w:rsidRDefault="001248C6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Pr="008B6216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2EED" w:rsidRDefault="00122EED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1248C6" w:rsidRPr="008B6216" w:rsidRDefault="001248C6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подпрограммы.</w:t>
      </w:r>
    </w:p>
    <w:p w:rsidR="00EE55C3" w:rsidRPr="008B6216" w:rsidRDefault="00EE55C3" w:rsidP="00EE55C3">
      <w:pPr>
        <w:tabs>
          <w:tab w:val="left" w:pos="851"/>
        </w:tabs>
        <w:ind w:firstLine="567"/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Подпрограмма III «Совершенствование муниципальной службы </w:t>
      </w:r>
      <w:r w:rsidRPr="008B6216">
        <w:rPr>
          <w:rFonts w:cs="Times New Roman"/>
        </w:rPr>
        <w:t>Московской области</w:t>
      </w:r>
      <w:r w:rsidRPr="008B6216">
        <w:rPr>
          <w:rFonts w:eastAsiaTheme="minorHAnsi" w:cs="Times New Roman"/>
          <w:lang w:eastAsia="en-US"/>
        </w:rPr>
        <w:t>» сформирована в целях выполнения задачи по совершенствованию системы муниципального управления городского округа Электросталь Московской области.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Подготовка кадров для органов местного самоуправления городского округа Электросталь Московской области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у населения.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>Основные требования, предъявляемые к муниципальной службе, изложены в нормативных правовых актах: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 Федеральном </w:t>
      </w:r>
      <w:hyperlink r:id="rId13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02.03.2007 № 25-ФЗ «О муниципальной службе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4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06.10.2003 № 131-ФЗ «Об общих принципах организации местного самоуправления в Российской Федерации»;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Федеральном </w:t>
      </w:r>
      <w:hyperlink r:id="rId15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от 25.12.2008 № 273-ФЗ «О противодействии коррупции»;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eastAsiaTheme="minorHAnsi" w:cs="Times New Roman"/>
          <w:lang w:eastAsia="en-US"/>
        </w:rPr>
      </w:pPr>
      <w:r w:rsidRPr="008B6216">
        <w:rPr>
          <w:rFonts w:eastAsiaTheme="minorHAnsi" w:cs="Times New Roman"/>
          <w:lang w:eastAsia="en-US"/>
        </w:rPr>
        <w:t xml:space="preserve">- </w:t>
      </w:r>
      <w:hyperlink r:id="rId16" w:history="1">
        <w:r w:rsidRPr="008B6216">
          <w:rPr>
            <w:rFonts w:eastAsiaTheme="minorHAnsi" w:cs="Times New Roman"/>
            <w:lang w:eastAsia="en-US"/>
          </w:rPr>
          <w:t>Закон</w:t>
        </w:r>
      </w:hyperlink>
      <w:r w:rsidRPr="008B6216">
        <w:rPr>
          <w:rFonts w:eastAsiaTheme="minorHAnsi" w:cs="Times New Roman"/>
          <w:lang w:eastAsia="en-US"/>
        </w:rPr>
        <w:t>е Московской области от 24.07.2007 № 137/2007-ОЗ «О муниципальной службе в Московской области».</w:t>
      </w:r>
    </w:p>
    <w:p w:rsidR="00EE55C3" w:rsidRPr="008B6216" w:rsidRDefault="00EE55C3" w:rsidP="00EE55C3">
      <w:pPr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8B6216">
        <w:rPr>
          <w:rFonts w:cs="Times New Roman"/>
        </w:rPr>
        <w:t>В целях повышения результативности деятельности муниципальных служащих в городском округе Электросталь необходимо сформировать систему профессионального обучения, повышения квалификации кадров для местного самоуправления. Это позволит обеспечить стабильно высокий уровень качества подготовки и повышения квалификации муниципальных служащих за счет привлечения к процессу обучения высококвалифицированных представителей научного сообщества, а также государственных и муниципальных служащих и руководителей органов государственной власти и местного самоуправления, имеющих большой опыт работы в данных органах.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Внедрение на муниципальной службе системы квалификационных требований, включающей детализированные требования к профессиональному образованию, стажу муниципальной службы (государственной службы иных видов) или стажу (опыту) работы по специальности, направлению подготовки, профессиональным и личностным качествам, знаниям, навыкам и умениям, обеспечит поступление на муниципальную службу компетентных граждан.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Мероприятий подпрограммы позволит обеспечить дальнейшее эффективное функционирование муниципальной службы.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направлениям: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совершенствование и организация профессионального развития муниципальных служащих;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- дальнейшее внедрение современных принципов организации муниципальной службы.</w:t>
      </w:r>
    </w:p>
    <w:p w:rsidR="00EE55C3" w:rsidRPr="008B6216" w:rsidRDefault="00EE55C3" w:rsidP="004B2642">
      <w:pPr>
        <w:jc w:val="center"/>
        <w:rPr>
          <w:rFonts w:cs="Times New Roman"/>
        </w:rPr>
      </w:pPr>
      <w:r w:rsidRPr="008B6216">
        <w:rPr>
          <w:rFonts w:cs="Times New Roman"/>
        </w:rPr>
        <w:br w:type="page"/>
      </w:r>
      <w:r w:rsidRPr="008B6216">
        <w:rPr>
          <w:rFonts w:cs="Times New Roman"/>
        </w:rPr>
        <w:lastRenderedPageBreak/>
        <w:t>3. Перечень мероприятий подпрограммы</w:t>
      </w:r>
      <w:r w:rsidRPr="008B6216">
        <w:rPr>
          <w:rFonts w:cs="Times New Roman"/>
          <w:lang w:val="en-US"/>
        </w:rPr>
        <w:t>III</w:t>
      </w:r>
    </w:p>
    <w:p w:rsidR="00EE55C3" w:rsidRPr="008B6216" w:rsidRDefault="00EE55C3" w:rsidP="004B26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«Совершенствование муниципальной службы Московской области»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69"/>
        <w:gridCol w:w="1267"/>
        <w:gridCol w:w="1710"/>
        <w:gridCol w:w="1276"/>
        <w:gridCol w:w="992"/>
        <w:gridCol w:w="992"/>
        <w:gridCol w:w="992"/>
        <w:gridCol w:w="993"/>
        <w:gridCol w:w="992"/>
        <w:gridCol w:w="2200"/>
        <w:gridCol w:w="2126"/>
      </w:tblGrid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1" w:type="dxa"/>
            <w:gridSpan w:val="5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00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2126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00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Организация профессионального развития муниципальных служащих Московской области</w:t>
            </w:r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B4068" w:rsidRPr="008B6216" w:rsidRDefault="00EB4068" w:rsidP="00145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  <w:r w:rsidR="00145720">
              <w:rPr>
                <w:rFonts w:ascii="Times New Roman" w:hAnsi="Times New Roman" w:cs="Times New Roman"/>
                <w:sz w:val="20"/>
              </w:rPr>
              <w:t> 596,8</w:t>
            </w:r>
          </w:p>
        </w:tc>
        <w:tc>
          <w:tcPr>
            <w:tcW w:w="992" w:type="dxa"/>
          </w:tcPr>
          <w:p w:rsidR="00EB4068" w:rsidRPr="008B6216" w:rsidRDefault="00145720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992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EB4068" w:rsidRPr="008B6216" w:rsidRDefault="00EB4068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  <w:r w:rsidR="00145720">
              <w:rPr>
                <w:rFonts w:ascii="Times New Roman" w:hAnsi="Times New Roman" w:cs="Times New Roman"/>
                <w:sz w:val="20"/>
              </w:rPr>
              <w:t> </w:t>
            </w:r>
            <w:r w:rsidR="009F2EC8">
              <w:rPr>
                <w:rFonts w:ascii="Times New Roman" w:hAnsi="Times New Roman" w:cs="Times New Roman"/>
                <w:sz w:val="20"/>
              </w:rPr>
              <w:t>5</w:t>
            </w:r>
            <w:r w:rsidR="00145720">
              <w:rPr>
                <w:rFonts w:ascii="Times New Roman" w:hAnsi="Times New Roman" w:cs="Times New Roman"/>
                <w:sz w:val="20"/>
              </w:rPr>
              <w:t>96,8</w:t>
            </w:r>
          </w:p>
        </w:tc>
        <w:tc>
          <w:tcPr>
            <w:tcW w:w="992" w:type="dxa"/>
          </w:tcPr>
          <w:p w:rsidR="00EB4068" w:rsidRPr="008B6216" w:rsidRDefault="009F2EC8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4572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Электросталь Московской области</w:t>
            </w:r>
          </w:p>
        </w:tc>
        <w:tc>
          <w:tcPr>
            <w:tcW w:w="212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84169" w:rsidRPr="008B6216" w:rsidTr="009F2EC8">
        <w:tc>
          <w:tcPr>
            <w:tcW w:w="568" w:type="dxa"/>
            <w:vMerge w:val="restart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по  обучению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, переобучению, повышению квалификации и обмену опытом специалистов </w:t>
            </w:r>
          </w:p>
        </w:tc>
        <w:tc>
          <w:tcPr>
            <w:tcW w:w="1267" w:type="dxa"/>
            <w:vMerge w:val="restart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84169" w:rsidRPr="008B6216" w:rsidRDefault="00484169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819,8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236,0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2200" w:type="dxa"/>
            <w:vMerge w:val="restart"/>
          </w:tcPr>
          <w:p w:rsidR="00484169" w:rsidRPr="008B6216" w:rsidRDefault="00484169" w:rsidP="00484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r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484169" w:rsidRPr="008B6216" w:rsidTr="009F2EC8">
        <w:tc>
          <w:tcPr>
            <w:tcW w:w="568" w:type="dxa"/>
            <w:vMerge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A14C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819,8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76,6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236,0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171,4</w:t>
            </w:r>
          </w:p>
        </w:tc>
        <w:tc>
          <w:tcPr>
            <w:tcW w:w="993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992" w:type="dxa"/>
          </w:tcPr>
          <w:p w:rsidR="00484169" w:rsidRPr="008B6216" w:rsidRDefault="00484169" w:rsidP="001065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167,9</w:t>
            </w:r>
          </w:p>
        </w:tc>
        <w:tc>
          <w:tcPr>
            <w:tcW w:w="2200" w:type="dxa"/>
            <w:vMerge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574,7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41,5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146,0</w:t>
            </w:r>
          </w:p>
        </w:tc>
        <w:tc>
          <w:tcPr>
            <w:tcW w:w="992" w:type="dxa"/>
          </w:tcPr>
          <w:p w:rsidR="00484169" w:rsidRPr="008B6216" w:rsidRDefault="00484169" w:rsidP="00111E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131,4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AC49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городского округа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1.1.2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1.1.3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18,7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AC49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1.1.4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Управления городского жилищного и коммунального хозяйства Администрации городского округа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1.1.5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66,4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16,4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1.1.6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 Администрации городского округа Электросталь Московской области</w:t>
            </w: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1.1.7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 Администрации городского округа Электросталь Московской области</w:t>
            </w:r>
          </w:p>
          <w:p w:rsidR="00A2742E" w:rsidRPr="00484169" w:rsidRDefault="00A2742E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4169" w:rsidRPr="008B6216" w:rsidTr="009F2EC8">
        <w:tc>
          <w:tcPr>
            <w:tcW w:w="568" w:type="dxa"/>
          </w:tcPr>
          <w:p w:rsidR="00484169" w:rsidRPr="008B6216" w:rsidRDefault="00484169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1.1.8</w:t>
            </w:r>
          </w:p>
        </w:tc>
        <w:tc>
          <w:tcPr>
            <w:tcW w:w="1769" w:type="dxa"/>
          </w:tcPr>
          <w:p w:rsidR="00484169" w:rsidRPr="008B6216" w:rsidRDefault="00484169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84169" w:rsidRPr="008B6216" w:rsidRDefault="00484169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484169" w:rsidRPr="008B6216" w:rsidRDefault="00484169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484169" w:rsidRPr="008B6216" w:rsidRDefault="00484169" w:rsidP="00EB6DE6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484169" w:rsidRPr="00484169" w:rsidRDefault="00484169" w:rsidP="00EB6D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физической культуре и спорту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  <w:vMerge w:val="restart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8B6216">
              <w:rPr>
                <w:rFonts w:ascii="Times New Roman" w:hAnsi="Times New Roman" w:cs="Times New Roman"/>
                <w:sz w:val="20"/>
              </w:rPr>
              <w:t>т.ч</w:t>
            </w:r>
            <w:proofErr w:type="spellEnd"/>
            <w:r w:rsidRPr="008B6216">
              <w:rPr>
                <w:rFonts w:ascii="Times New Roman" w:hAnsi="Times New Roman" w:cs="Times New Roman"/>
                <w:sz w:val="20"/>
              </w:rPr>
              <w:t>. участие в краткосрочных семинарах</w:t>
            </w:r>
          </w:p>
        </w:tc>
        <w:tc>
          <w:tcPr>
            <w:tcW w:w="1267" w:type="dxa"/>
            <w:vMerge w:val="restart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EB4068" w:rsidRPr="008B6216" w:rsidRDefault="00EB4068" w:rsidP="00145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  <w:r w:rsidR="00145720">
              <w:rPr>
                <w:rFonts w:ascii="Times New Roman" w:hAnsi="Times New Roman" w:cs="Times New Roman"/>
                <w:sz w:val="20"/>
              </w:rPr>
              <w:t> 777,0</w:t>
            </w:r>
          </w:p>
        </w:tc>
        <w:tc>
          <w:tcPr>
            <w:tcW w:w="992" w:type="dxa"/>
          </w:tcPr>
          <w:p w:rsidR="00EB4068" w:rsidRPr="008B6216" w:rsidRDefault="00145720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1 361,0</w:t>
            </w:r>
          </w:p>
        </w:tc>
        <w:tc>
          <w:tcPr>
            <w:tcW w:w="992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EB4068" w:rsidRPr="008B6216" w:rsidRDefault="00EB4068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2200" w:type="dxa"/>
            <w:vMerge w:val="restart"/>
          </w:tcPr>
          <w:p w:rsidR="00EB4068" w:rsidRPr="008B6216" w:rsidRDefault="00EB4068" w:rsidP="0048416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Управление по кадровой политике и общим вопросам Администрации </w:t>
            </w:r>
            <w:r w:rsidR="00467507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  <w:vMerge w:val="restart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</w:t>
            </w:r>
          </w:p>
        </w:tc>
      </w:tr>
      <w:tr w:rsidR="00EB4068" w:rsidRPr="008B6216" w:rsidTr="009F2EC8">
        <w:tc>
          <w:tcPr>
            <w:tcW w:w="568" w:type="dxa"/>
            <w:vMerge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  <w:r w:rsidR="009F2EC8">
              <w:rPr>
                <w:rFonts w:ascii="Times New Roman" w:hAnsi="Times New Roman" w:cs="Times New Roman"/>
                <w:sz w:val="20"/>
              </w:rPr>
              <w:t> 7</w:t>
            </w:r>
            <w:r w:rsidR="00145720">
              <w:rPr>
                <w:rFonts w:ascii="Times New Roman" w:hAnsi="Times New Roman" w:cs="Times New Roman"/>
                <w:sz w:val="20"/>
              </w:rPr>
              <w:t>77,0</w:t>
            </w:r>
          </w:p>
        </w:tc>
        <w:tc>
          <w:tcPr>
            <w:tcW w:w="992" w:type="dxa"/>
          </w:tcPr>
          <w:p w:rsidR="00EB4068" w:rsidRPr="008B6216" w:rsidRDefault="00145720" w:rsidP="009F2E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803,4</w:t>
            </w:r>
          </w:p>
        </w:tc>
        <w:tc>
          <w:tcPr>
            <w:tcW w:w="992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1 361,0</w:t>
            </w:r>
          </w:p>
        </w:tc>
        <w:tc>
          <w:tcPr>
            <w:tcW w:w="992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1 207,2</w:t>
            </w:r>
          </w:p>
        </w:tc>
        <w:tc>
          <w:tcPr>
            <w:tcW w:w="993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992" w:type="dxa"/>
          </w:tcPr>
          <w:p w:rsidR="00EB4068" w:rsidRPr="008B6216" w:rsidRDefault="00EB4068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1 202,7</w:t>
            </w:r>
          </w:p>
        </w:tc>
        <w:tc>
          <w:tcPr>
            <w:tcW w:w="2200" w:type="dxa"/>
            <w:vMerge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1.2.1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145720" w:rsidP="00190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4 389,5</w:t>
            </w:r>
          </w:p>
        </w:tc>
        <w:tc>
          <w:tcPr>
            <w:tcW w:w="992" w:type="dxa"/>
          </w:tcPr>
          <w:p w:rsidR="00EB4068" w:rsidRPr="008B6216" w:rsidRDefault="00145720" w:rsidP="003661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675,9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971,0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917,2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912,7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912,7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Администрация городского округа Электросталь </w:t>
            </w:r>
            <w:r w:rsidR="00467507">
              <w:rPr>
                <w:rFonts w:cs="Times New Roman"/>
                <w:sz w:val="20"/>
                <w:szCs w:val="20"/>
              </w:rPr>
              <w:t>Московской области</w:t>
            </w:r>
          </w:p>
        </w:tc>
        <w:tc>
          <w:tcPr>
            <w:tcW w:w="2126" w:type="dxa"/>
          </w:tcPr>
          <w:p w:rsidR="00EB4068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 xml:space="preserve">Обеспечение повышения квалификации муниципальных служащих Администрации 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>городского округа Электросталь Московской области</w:t>
            </w:r>
          </w:p>
          <w:p w:rsidR="00A2742E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2742E" w:rsidRPr="00484169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имущественных отношений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172,0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имущественных отношений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имущественных отношений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1.2.3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Комитет по строительству, дорожной деятельности и благоустройства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Комитета по строительству, дорожной деятельности и благоустройства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1.2.4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868,5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68,5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3" w:type="dxa"/>
          </w:tcPr>
          <w:p w:rsidR="00EB4068" w:rsidRPr="008B6216" w:rsidRDefault="00EB4068" w:rsidP="00C078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городского жилищного и коммунального хозяйства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городского жилищного и коммунального хозяйства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1.2.5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Финансовое управление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147,0</w:t>
            </w:r>
          </w:p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47,0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Финансовое управление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Обеспечение, повышения квалификации муниципальных служащих Финансового управления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1.2.6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образования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образования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1.2.7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культуре и делам молодежи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культуре и делам молодежи </w:t>
            </w:r>
            <w:r w:rsidR="00467507" w:rsidRPr="008B6216">
              <w:rPr>
                <w:rFonts w:cs="Times New Roman"/>
                <w:sz w:val="20"/>
                <w:szCs w:val="20"/>
              </w:rPr>
              <w:t xml:space="preserve">Администрации </w:t>
            </w:r>
            <w:r w:rsidR="00467507">
              <w:rPr>
                <w:rFonts w:cs="Times New Roman"/>
                <w:sz w:val="20"/>
                <w:szCs w:val="20"/>
              </w:rPr>
              <w:t>городского округа 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t>Обеспечение повышения квалификации муниципальных служащих Управления по культуре и делам молодежи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EB4068" w:rsidRPr="008B6216" w:rsidTr="009F2EC8">
        <w:tc>
          <w:tcPr>
            <w:tcW w:w="568" w:type="dxa"/>
          </w:tcPr>
          <w:p w:rsidR="00EB4068" w:rsidRPr="008B6216" w:rsidRDefault="00EB4068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1.2.8</w:t>
            </w:r>
          </w:p>
        </w:tc>
        <w:tc>
          <w:tcPr>
            <w:tcW w:w="1769" w:type="dxa"/>
          </w:tcPr>
          <w:p w:rsidR="00EB4068" w:rsidRPr="008B6216" w:rsidRDefault="00EB4068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Управление по физической культуре и спорту</w:t>
            </w:r>
          </w:p>
        </w:tc>
        <w:tc>
          <w:tcPr>
            <w:tcW w:w="1267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B4068" w:rsidRPr="008B6216" w:rsidRDefault="00EB4068" w:rsidP="00093CA5">
            <w:r w:rsidRPr="008B6216">
              <w:rPr>
                <w:rFonts w:cs="Times New Roman"/>
                <w:sz w:val="20"/>
              </w:rPr>
              <w:t xml:space="preserve">Средства бюджета городского округа Электросталь </w:t>
            </w:r>
            <w:r w:rsidRPr="008B6216">
              <w:rPr>
                <w:rFonts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EB4068" w:rsidRPr="008B6216" w:rsidRDefault="00EB4068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00" w:type="dxa"/>
          </w:tcPr>
          <w:p w:rsidR="00EB4068" w:rsidRPr="008B6216" w:rsidRDefault="00EB4068" w:rsidP="005C7DE0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Управление по физической культуре и спорту Администрации </w:t>
            </w:r>
            <w:r w:rsidR="005C7DE0">
              <w:rPr>
                <w:rFonts w:cs="Times New Roman"/>
                <w:sz w:val="20"/>
                <w:szCs w:val="20"/>
              </w:rPr>
              <w:t xml:space="preserve">городского округа </w:t>
            </w:r>
            <w:r w:rsidR="005C7DE0">
              <w:rPr>
                <w:rFonts w:cs="Times New Roman"/>
                <w:sz w:val="20"/>
                <w:szCs w:val="20"/>
              </w:rPr>
              <w:lastRenderedPageBreak/>
              <w:t>Электросталь Московской области</w:t>
            </w:r>
          </w:p>
        </w:tc>
        <w:tc>
          <w:tcPr>
            <w:tcW w:w="2126" w:type="dxa"/>
          </w:tcPr>
          <w:p w:rsidR="00EB4068" w:rsidRPr="00484169" w:rsidRDefault="00EB406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повышения квалификации муниципальных </w:t>
            </w:r>
            <w:r w:rsidRPr="00484169">
              <w:rPr>
                <w:rFonts w:ascii="Times New Roman" w:hAnsi="Times New Roman" w:cs="Times New Roman"/>
                <w:sz w:val="20"/>
              </w:rPr>
              <w:lastRenderedPageBreak/>
              <w:t>служащих Управления по физической культуре и спорту</w:t>
            </w:r>
            <w:r w:rsidR="00467507" w:rsidRPr="00484169">
              <w:rPr>
                <w:rFonts w:ascii="Times New Roman" w:hAnsi="Times New Roman" w:cs="Times New Roman"/>
                <w:sz w:val="20"/>
              </w:rPr>
              <w:t xml:space="preserve"> Администрации городского округа Электросталь Московской области</w:t>
            </w:r>
          </w:p>
        </w:tc>
      </w:tr>
      <w:tr w:rsidR="009F2EC8" w:rsidRPr="008B6216" w:rsidTr="009F2EC8">
        <w:tc>
          <w:tcPr>
            <w:tcW w:w="568" w:type="dxa"/>
            <w:vMerge w:val="restart"/>
          </w:tcPr>
          <w:p w:rsidR="009F2EC8" w:rsidRPr="008B6216" w:rsidRDefault="009F2EC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Всего по Подпрограмме </w:t>
            </w:r>
            <w:r w:rsidRPr="008B6216">
              <w:rPr>
                <w:rFonts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  <w:vMerge w:val="restart"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9F2EC8" w:rsidRPr="008B6216" w:rsidRDefault="009F2EC8" w:rsidP="00145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  <w:r w:rsidR="00145720">
              <w:rPr>
                <w:rFonts w:ascii="Times New Roman" w:hAnsi="Times New Roman" w:cs="Times New Roman"/>
                <w:sz w:val="20"/>
              </w:rPr>
              <w:t> 596,8</w:t>
            </w:r>
          </w:p>
        </w:tc>
        <w:tc>
          <w:tcPr>
            <w:tcW w:w="992" w:type="dxa"/>
          </w:tcPr>
          <w:p w:rsidR="009F2EC8" w:rsidRPr="008B6216" w:rsidRDefault="00145720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880,0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4326" w:type="dxa"/>
            <w:gridSpan w:val="2"/>
            <w:vMerge w:val="restart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2EC8" w:rsidRPr="008B6216" w:rsidTr="009F2EC8">
        <w:tc>
          <w:tcPr>
            <w:tcW w:w="568" w:type="dxa"/>
            <w:vMerge/>
          </w:tcPr>
          <w:p w:rsidR="009F2EC8" w:rsidRPr="008B6216" w:rsidRDefault="009F2EC8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9F2EC8" w:rsidRPr="008B6216" w:rsidRDefault="009F2EC8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F2EC8" w:rsidRPr="008B6216" w:rsidRDefault="009F2EC8" w:rsidP="001457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  <w:r w:rsidR="00145720">
              <w:rPr>
                <w:rFonts w:ascii="Times New Roman" w:hAnsi="Times New Roman" w:cs="Times New Roman"/>
                <w:sz w:val="20"/>
              </w:rPr>
              <w:t> 596,8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145720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1 597,0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1 378,6</w:t>
            </w:r>
          </w:p>
        </w:tc>
        <w:tc>
          <w:tcPr>
            <w:tcW w:w="993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992" w:type="dxa"/>
          </w:tcPr>
          <w:p w:rsidR="009F2EC8" w:rsidRPr="008B6216" w:rsidRDefault="009F2EC8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1 370,6</w:t>
            </w:r>
          </w:p>
        </w:tc>
        <w:tc>
          <w:tcPr>
            <w:tcW w:w="4326" w:type="dxa"/>
            <w:gridSpan w:val="2"/>
            <w:vMerge/>
          </w:tcPr>
          <w:p w:rsidR="009F2EC8" w:rsidRPr="008B6216" w:rsidRDefault="009F2EC8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Pr="008B6216" w:rsidRDefault="00EE55C3" w:rsidP="00EE55C3"/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4394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№3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к муниципальной программе городского округа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Электросталь 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«Управление имуществом и муниципальными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4394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подпрограммы </w:t>
      </w:r>
      <w:r w:rsidRPr="008B6216">
        <w:rPr>
          <w:rFonts w:cs="Times New Roman"/>
          <w:lang w:val="en-US"/>
        </w:rPr>
        <w:t>IV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8B6618" w:rsidRPr="008B6216" w:rsidRDefault="008B6618">
      <w:pPr>
        <w:rPr>
          <w:rFonts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8B6216">
              <w:rPr>
                <w:rFonts w:ascii="Times New Roman" w:hAnsi="Times New Roman" w:cs="Times New Roman"/>
                <w:szCs w:val="22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8B6618" w:rsidRPr="002618A2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8B6618" w:rsidRPr="002618A2" w:rsidRDefault="008B6618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8B6618" w:rsidRPr="002618A2" w:rsidRDefault="008B6618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B6618" w:rsidRPr="00440DF0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126 634,1</w:t>
            </w:r>
          </w:p>
          <w:p w:rsidR="008B6618" w:rsidRPr="008B6216" w:rsidRDefault="008B6618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8B6618" w:rsidRPr="008B6216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27 000,0</w:t>
            </w:r>
          </w:p>
        </w:tc>
        <w:tc>
          <w:tcPr>
            <w:tcW w:w="1275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1332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3204" w:type="dxa"/>
            <w:vMerge w:val="restart"/>
          </w:tcPr>
          <w:p w:rsidR="008B6618" w:rsidRPr="002618A2" w:rsidRDefault="00B37A26" w:rsidP="00B37A26">
            <w:pPr>
              <w:pStyle w:val="ConsPlusNormal"/>
              <w:rPr>
                <w:rFonts w:ascii="Times New Roman" w:hAnsi="Times New Roman" w:cs="Times New Roman"/>
              </w:rPr>
            </w:pPr>
            <w:r w:rsidRPr="001248C6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8B6618" w:rsidRPr="002618A2" w:rsidTr="00EB6DE6">
        <w:tc>
          <w:tcPr>
            <w:tcW w:w="4478" w:type="dxa"/>
          </w:tcPr>
          <w:p w:rsidR="008B6618" w:rsidRPr="002618A2" w:rsidRDefault="008B6618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810C0" w:rsidRPr="00440DF0" w:rsidRDefault="003810C0" w:rsidP="003810C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126 634,1</w:t>
            </w:r>
          </w:p>
          <w:p w:rsidR="008B6618" w:rsidRPr="008B6216" w:rsidRDefault="008B6618" w:rsidP="00EB6DE6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8B6618" w:rsidRPr="008B6216" w:rsidRDefault="003810C0" w:rsidP="00EB6DE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38 634,1</w:t>
            </w: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8B6216">
              <w:rPr>
                <w:rFonts w:ascii="Times New Roman" w:hAnsi="Times New Roman" w:cs="Times New Roman"/>
                <w:szCs w:val="22"/>
                <w:lang w:val="en-US"/>
              </w:rPr>
              <w:t>36 800,0</w:t>
            </w:r>
          </w:p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27 000,0</w:t>
            </w:r>
          </w:p>
        </w:tc>
        <w:tc>
          <w:tcPr>
            <w:tcW w:w="1275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1332" w:type="dxa"/>
          </w:tcPr>
          <w:p w:rsidR="008B6618" w:rsidRPr="008B6216" w:rsidRDefault="008B6618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12 100,0</w:t>
            </w:r>
          </w:p>
        </w:tc>
        <w:tc>
          <w:tcPr>
            <w:tcW w:w="3204" w:type="dxa"/>
            <w:vMerge/>
          </w:tcPr>
          <w:p w:rsidR="008B6618" w:rsidRPr="002618A2" w:rsidRDefault="008B6618" w:rsidP="00EB6DE6">
            <w:pPr>
              <w:rPr>
                <w:rFonts w:cs="Times New Roman"/>
              </w:rPr>
            </w:pPr>
          </w:p>
        </w:tc>
      </w:tr>
    </w:tbl>
    <w:p w:rsidR="00122EED" w:rsidRPr="008B6216" w:rsidRDefault="00122EED">
      <w:pPr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B37A26" w:rsidRDefault="00B37A26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8B6618" w:rsidRDefault="008B6618" w:rsidP="00EE55C3">
      <w:pPr>
        <w:tabs>
          <w:tab w:val="left" w:pos="851"/>
        </w:tabs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</w:pPr>
      <w:r w:rsidRPr="008B6216">
        <w:rPr>
          <w:rFonts w:cs="Times New Roman"/>
        </w:rPr>
        <w:lastRenderedPageBreak/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Реализация подпрограммы вызвана необходимостью совершенствования текущей бюджетной политики, развития стимулирующих факторов, открытости и прозрачности, вовлечения граждан в бюджетный процесс, более широким применением экономических методов управления, повышением эффективности организации бюджетного процесса исходя из принципа безусловного исполнения действующих расходных обязательств.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проблемами в сфере реализации подпрограммы, в том числе в случае затруднений с реализацией ее основных мероприятий, являются: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отсутствие реализованных на территории городского округа Электросталь Московской области практик вовлечения граждан в решения о выборе приоритетов расходования бюджетных средств.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Мероприятия подпрограммы предполагается осуществлять по основным мероприятиям, направленным на: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проведение мероприятий по привлечению дополнительных доходов в бюджет городского округа Электросталь Московской области и обеспечение исполнения доходов бюджета;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прогнозирование поступлений доходов в бюджет городского округа Электросталь Московской области;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управление муниципальным долгом городского округа Электросталь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 стратегических целей бюджетной политики.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Электросталь Московской области является формирование «программного» бюджета на трехлетний период, качественное исполнение бюджета городского округа Электросталь Московской области, увеличение роста доходов, управление муниципальным долгом.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Инструментом, обеспечивающим повышение качества управления муниципальными финансами, является реализация программно-целевого принципа планирования и исполнения бюджета.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Увеличение роста доходов бюджета городского округа Электросталь Московской области планируется осуществить за счет проводимых мероприятий по мобилизации доходов, в том числе за счет: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реализации мероприятий, направленных на погашение задолженности по налоговым и неналоговым платежам юридическими и физическими лицами;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выявления и постановки на учет организаций, осуществляющих деятельность на территории городского округа Электросталь Московской области, но зарегистрированных не по месту осуществления хозяйственной деятельности;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вовлечения в налоговый оборот земельных участков, в отношении которых отсутствуют сведения о категории и видах разрешенного использования, а также объектов капитального строительства, на которые не оформлены правоустанавливающие документы.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Ежегодно бюджет городского округа Электросталь Московской области формируется с дефицитом. Наличие дефицита бюджета обусловлено </w:t>
      </w:r>
      <w:r w:rsidRPr="008B6216">
        <w:rPr>
          <w:rFonts w:ascii="Times New Roman" w:hAnsi="Times New Roman" w:cs="Times New Roman"/>
          <w:sz w:val="24"/>
          <w:szCs w:val="24"/>
        </w:rPr>
        <w:lastRenderedPageBreak/>
        <w:t>необходимостью интенсивного социального и экономического развития городского округа Электросталь Московской области Московской области.</w:t>
      </w:r>
    </w:p>
    <w:p w:rsidR="00EE55C3" w:rsidRPr="008B6216" w:rsidRDefault="00EE55C3" w:rsidP="00EE55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Источником финансирования дефицита бюджета будет являться привлечение заимствований.</w:t>
      </w:r>
    </w:p>
    <w:p w:rsidR="00122EED" w:rsidRPr="008B6216" w:rsidRDefault="00EE55C3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При этом муниципальная долговая политика должна строиться на принципах безусловного исполнения долговых обязательств в полном объеме и в установленный срок и обеспечивать финансовую устойчивость городского округа Электросталь Московской области и дальнейшее развитие.</w:t>
      </w:r>
    </w:p>
    <w:p w:rsidR="00122EED" w:rsidRPr="008B6216" w:rsidRDefault="00122EED" w:rsidP="00122E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E55C3" w:rsidRPr="008B6216" w:rsidRDefault="00EE55C3" w:rsidP="009A49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«Управление муниципальными финансами»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69"/>
        <w:gridCol w:w="1267"/>
        <w:gridCol w:w="1710"/>
        <w:gridCol w:w="1633"/>
        <w:gridCol w:w="992"/>
        <w:gridCol w:w="992"/>
        <w:gridCol w:w="992"/>
        <w:gridCol w:w="993"/>
        <w:gridCol w:w="1134"/>
        <w:gridCol w:w="2268"/>
        <w:gridCol w:w="1843"/>
      </w:tblGrid>
      <w:tr w:rsidR="00440DF0" w:rsidRPr="008B6216" w:rsidTr="00AA7367">
        <w:tc>
          <w:tcPr>
            <w:tcW w:w="426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9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633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103" w:type="dxa"/>
            <w:gridSpan w:val="5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843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440DF0" w:rsidRPr="008B6216" w:rsidTr="00AA7367">
        <w:tc>
          <w:tcPr>
            <w:tcW w:w="426" w:type="dxa"/>
            <w:vMerge/>
          </w:tcPr>
          <w:p w:rsidR="00440DF0" w:rsidRPr="008B6216" w:rsidRDefault="00440DF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8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40DF0" w:rsidRPr="008B6216" w:rsidTr="00AA7367">
        <w:tc>
          <w:tcPr>
            <w:tcW w:w="426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9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33" w:type="dxa"/>
          </w:tcPr>
          <w:p w:rsidR="00440DF0" w:rsidRPr="008B6216" w:rsidRDefault="00440DF0" w:rsidP="00440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3" w:type="dxa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Проведение мероприятий в сфере формирования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Уровень задолженности по налоговым платежам в консолидированный бюджет Московской области к налоговым доходам консолидированного бюджета Московской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области:   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             в 2019 г. &lt; 5,0 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2020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7C1FEB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2021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,9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2022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,8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2023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,7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процента, </w:t>
            </w:r>
          </w:p>
          <w:p w:rsidR="00EE55C3" w:rsidRPr="008B6216" w:rsidRDefault="006C06A4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2024 г.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&lt; 3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,6</w:t>
            </w:r>
            <w:r w:rsidR="00EE55C3"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процента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Осуществление мониторинга поступлений налоговых и неналоговых доходов местного бюджета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финансирования социально значимых расходов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Проведение работы с главными администраторами по представлению прогноза поступления доходов и аналитических материалов по исполнению бюджета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Прогноз поступлений налоговых и неналоговых доходов в бюджет городского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округа  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разрезе ежедневных поступлений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Основное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05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. 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5.</w:t>
            </w:r>
            <w:r w:rsidR="00340EEB" w:rsidRPr="008B6216">
              <w:rPr>
                <w:rFonts w:ascii="Times New Roman" w:hAnsi="Times New Roman" w:cs="Times New Roman"/>
                <w:sz w:val="20"/>
              </w:rPr>
              <w:t>0</w:t>
            </w: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Мониторинг и оценка качества управления муниципальными финансами 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Обеспечение надлежащего качества управления муниципальными финансами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06. Управление муниципальным долгом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DF0" w:rsidRPr="008B6216" w:rsidTr="00AA7367">
        <w:tc>
          <w:tcPr>
            <w:tcW w:w="426" w:type="dxa"/>
            <w:vMerge w:val="restart"/>
          </w:tcPr>
          <w:p w:rsidR="00440DF0" w:rsidRPr="008B6216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1769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06.01</w:t>
            </w:r>
          </w:p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бюджетным кредитам </w:t>
            </w:r>
          </w:p>
        </w:tc>
        <w:tc>
          <w:tcPr>
            <w:tcW w:w="1267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  <w:vMerge w:val="restart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</w:t>
            </w:r>
            <w:r w:rsidR="000F14A1"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F14A1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="000F14A1"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0F14A1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 не превысит 50 процентов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440DF0" w:rsidRPr="008B6216" w:rsidRDefault="00440DF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0DF0" w:rsidRPr="008B6216" w:rsidTr="00AA7367">
        <w:tc>
          <w:tcPr>
            <w:tcW w:w="426" w:type="dxa"/>
            <w:vMerge/>
          </w:tcPr>
          <w:p w:rsidR="00440DF0" w:rsidRPr="008B6216" w:rsidRDefault="00440DF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440DF0" w:rsidRPr="008B6216" w:rsidRDefault="00440DF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993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134" w:type="dxa"/>
          </w:tcPr>
          <w:p w:rsidR="00440DF0" w:rsidRPr="00AC492A" w:rsidRDefault="00440DF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268" w:type="dxa"/>
            <w:vMerge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440DF0" w:rsidRPr="008B6216" w:rsidRDefault="00440DF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06.02</w:t>
            </w:r>
          </w:p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Обслуживание муниципального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долга  по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коммерческим  кредитам 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 Московской области, 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Отношение объема муниципального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долга  городского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округа к общему годовому объему доходов (без учета объема безвозмездных поступлений) бюджета городского округа не превысит 50 процентов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Отношение объема расходов на обслуживание муниципального долга к объему расходов бюджета городского округа (за исключением расходов, которые осуществляются за счет субвенций) не превысит: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 2020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г. - 5 процентов;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2021г. – 5 процентов;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2022 г. - 5 процентов,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в 2023 г. - 5 процентов,</w:t>
            </w:r>
          </w:p>
          <w:p w:rsidR="003810C0" w:rsidRPr="008B6216" w:rsidRDefault="003810C0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в 2024 г. – </w:t>
            </w:r>
            <w:proofErr w:type="gramStart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5  процентов</w:t>
            </w:r>
            <w:proofErr w:type="gramEnd"/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2268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Основное мероприятие 07.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4.1.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1</w:t>
            </w:r>
          </w:p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Проведение анализа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сложившейся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0F14A1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 xml:space="preserve">Недопущение некорректного отражения в учете просроченной </w:t>
            </w: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lastRenderedPageBreak/>
              <w:t>кредиторской задолженности бюджета городского округа</w:t>
            </w:r>
          </w:p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55C3" w:rsidRPr="008B6216" w:rsidTr="00AA7367">
        <w:tc>
          <w:tcPr>
            <w:tcW w:w="426" w:type="dxa"/>
            <w:vMerge w:val="restart"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4.2.</w:t>
            </w:r>
          </w:p>
        </w:tc>
        <w:tc>
          <w:tcPr>
            <w:tcW w:w="1769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Мероприятие 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7.</w:t>
            </w:r>
            <w:r w:rsidR="00340EEB" w:rsidRPr="008B6216">
              <w:rPr>
                <w:rFonts w:cs="Times New Roman"/>
                <w:sz w:val="20"/>
                <w:szCs w:val="20"/>
              </w:rPr>
              <w:t>0</w:t>
            </w:r>
            <w:r w:rsidRPr="008B6216">
              <w:rPr>
                <w:rFonts w:cs="Times New Roman"/>
                <w:sz w:val="20"/>
                <w:szCs w:val="20"/>
              </w:rPr>
              <w:t>2 Инвентаризация просроченной кредиторской задолженности</w:t>
            </w:r>
          </w:p>
        </w:tc>
        <w:tc>
          <w:tcPr>
            <w:tcW w:w="1267" w:type="dxa"/>
            <w:vMerge w:val="restart"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736" w:type="dxa"/>
            <w:gridSpan w:val="6"/>
            <w:vMerge w:val="restart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eastAsiaTheme="minorHAnsi" w:hAnsi="Times New Roman" w:cs="Times New Roman"/>
                <w:sz w:val="20"/>
                <w:lang w:eastAsia="en-US"/>
              </w:rPr>
              <w:t>В пределах средств, выделенных на обеспечение деятельности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2268" w:type="dxa"/>
            <w:vMerge w:val="restart"/>
          </w:tcPr>
          <w:p w:rsidR="00EE55C3" w:rsidRPr="008B6216" w:rsidRDefault="00EE55C3" w:rsidP="000F14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Финансовое управление Администрации </w:t>
            </w:r>
            <w:r w:rsidR="000F14A1">
              <w:rPr>
                <w:rFonts w:ascii="Times New Roman" w:hAnsi="Times New Roman" w:cs="Times New Roman"/>
                <w:sz w:val="20"/>
              </w:rPr>
              <w:t xml:space="preserve">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 xml:space="preserve">Электросталь </w:t>
            </w:r>
            <w:r w:rsidR="000F14A1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843" w:type="dxa"/>
            <w:vMerge w:val="restart"/>
          </w:tcPr>
          <w:p w:rsidR="00EE55C3" w:rsidRPr="008B6216" w:rsidRDefault="00EE55C3" w:rsidP="00093CA5"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8B6216">
              <w:rPr>
                <w:rFonts w:eastAsiaTheme="minorHAnsi" w:cs="Times New Roman"/>
                <w:sz w:val="20"/>
                <w:szCs w:val="20"/>
                <w:lang w:eastAsia="en-US"/>
              </w:rPr>
              <w:t>Недопущение некорректного отражения в учете просроченной кредиторской задолженности бюджета городского округа</w:t>
            </w:r>
          </w:p>
        </w:tc>
      </w:tr>
      <w:tr w:rsidR="00EE55C3" w:rsidRPr="008B6216" w:rsidTr="00AA7367">
        <w:tc>
          <w:tcPr>
            <w:tcW w:w="426" w:type="dxa"/>
            <w:vMerge/>
          </w:tcPr>
          <w:p w:rsidR="00EE55C3" w:rsidRPr="008B6216" w:rsidRDefault="00EE55C3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EE55C3" w:rsidRPr="008B6216" w:rsidRDefault="00EE55C3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736" w:type="dxa"/>
            <w:gridSpan w:val="6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EE55C3" w:rsidRPr="008B6216" w:rsidRDefault="00EE55C3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 w:val="restart"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4111" w:type="dxa"/>
            <w:gridSpan w:val="2"/>
            <w:vMerge w:val="restart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C0" w:rsidRPr="008B6216" w:rsidTr="00AA7367">
        <w:tc>
          <w:tcPr>
            <w:tcW w:w="426" w:type="dxa"/>
            <w:vMerge/>
          </w:tcPr>
          <w:p w:rsidR="003810C0" w:rsidRPr="008B6216" w:rsidRDefault="003810C0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9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810C0" w:rsidRPr="008B6216" w:rsidRDefault="003810C0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3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126 634,1</w:t>
            </w:r>
          </w:p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810C0" w:rsidRPr="003810C0" w:rsidRDefault="003810C0" w:rsidP="003810C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10C0">
              <w:rPr>
                <w:rFonts w:cs="Times New Roman"/>
                <w:sz w:val="20"/>
                <w:szCs w:val="20"/>
              </w:rPr>
              <w:t>38 634,1</w:t>
            </w: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C492A">
              <w:rPr>
                <w:rFonts w:ascii="Times New Roman" w:hAnsi="Times New Roman" w:cs="Times New Roman"/>
                <w:sz w:val="20"/>
                <w:lang w:val="en-US"/>
              </w:rPr>
              <w:t>36 800,0</w:t>
            </w:r>
          </w:p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27 000,0</w:t>
            </w:r>
          </w:p>
        </w:tc>
        <w:tc>
          <w:tcPr>
            <w:tcW w:w="993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1134" w:type="dxa"/>
          </w:tcPr>
          <w:p w:rsidR="003810C0" w:rsidRPr="00AC492A" w:rsidRDefault="003810C0" w:rsidP="0012302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12 100,0</w:t>
            </w:r>
          </w:p>
        </w:tc>
        <w:tc>
          <w:tcPr>
            <w:tcW w:w="4111" w:type="dxa"/>
            <w:gridSpan w:val="2"/>
            <w:vMerge/>
          </w:tcPr>
          <w:p w:rsidR="003810C0" w:rsidRPr="008B6216" w:rsidRDefault="003810C0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22EED" w:rsidRPr="008B6216" w:rsidRDefault="00122EED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</w:p>
    <w:p w:rsidR="00122EED" w:rsidRPr="008B6216" w:rsidRDefault="00122EED">
      <w:pPr>
        <w:rPr>
          <w:rFonts w:cs="Times New Roman"/>
        </w:rPr>
      </w:pPr>
      <w:r w:rsidRPr="008B6216">
        <w:rPr>
          <w:rFonts w:cs="Times New Roman"/>
        </w:rPr>
        <w:br w:type="page"/>
      </w:r>
    </w:p>
    <w:p w:rsidR="00EE55C3" w:rsidRPr="008B6216" w:rsidRDefault="00EE55C3" w:rsidP="00EE55C3">
      <w:pPr>
        <w:tabs>
          <w:tab w:val="left" w:pos="851"/>
        </w:tabs>
        <w:ind w:left="4253" w:firstLine="5386"/>
        <w:jc w:val="both"/>
        <w:rPr>
          <w:rFonts w:cs="Times New Roman"/>
        </w:rPr>
      </w:pPr>
      <w:r w:rsidRPr="008B6216">
        <w:rPr>
          <w:rFonts w:cs="Times New Roman"/>
        </w:rPr>
        <w:lastRenderedPageBreak/>
        <w:t>Приложение №4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к муниципальной программе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городского округа Электросталь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Московской области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 xml:space="preserve">«Управление имуществом и муниципальными </w:t>
      </w:r>
    </w:p>
    <w:p w:rsidR="00EE55C3" w:rsidRPr="008B6216" w:rsidRDefault="00EE55C3" w:rsidP="00EE55C3">
      <w:pPr>
        <w:autoSpaceDE w:val="0"/>
        <w:autoSpaceDN w:val="0"/>
        <w:adjustRightInd w:val="0"/>
        <w:ind w:left="4253" w:firstLine="5386"/>
        <w:rPr>
          <w:rFonts w:cs="Times New Roman"/>
        </w:rPr>
      </w:pPr>
      <w:r w:rsidRPr="008B6216">
        <w:rPr>
          <w:rFonts w:cs="Times New Roman"/>
        </w:rPr>
        <w:t>финансами»</w:t>
      </w:r>
    </w:p>
    <w:p w:rsidR="00EE55C3" w:rsidRPr="008B6216" w:rsidRDefault="00EE55C3" w:rsidP="00BB75FA">
      <w:pPr>
        <w:autoSpaceDE w:val="0"/>
        <w:autoSpaceDN w:val="0"/>
        <w:adjustRightInd w:val="0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jc w:val="center"/>
        <w:rPr>
          <w:rFonts w:cs="Times New Roman"/>
        </w:rPr>
      </w:pPr>
      <w:r w:rsidRPr="008B6216">
        <w:rPr>
          <w:rFonts w:cs="Times New Roman"/>
        </w:rPr>
        <w:t xml:space="preserve">1. Паспорт 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B621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на срок 2020-2024 годы</w:t>
      </w:r>
    </w:p>
    <w:p w:rsidR="00BB75FA" w:rsidRPr="008B6216" w:rsidRDefault="00BB75F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8"/>
        <w:gridCol w:w="1304"/>
        <w:gridCol w:w="1226"/>
        <w:gridCol w:w="1276"/>
        <w:gridCol w:w="1276"/>
        <w:gridCol w:w="1275"/>
        <w:gridCol w:w="1332"/>
        <w:gridCol w:w="3204"/>
      </w:tblGrid>
      <w:tr w:rsidR="00BB75FA" w:rsidRPr="002618A2" w:rsidTr="00EB6DE6">
        <w:tc>
          <w:tcPr>
            <w:tcW w:w="4478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0893" w:type="dxa"/>
            <w:gridSpan w:val="7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75FA" w:rsidRPr="002618A2" w:rsidTr="00EB6DE6">
        <w:tc>
          <w:tcPr>
            <w:tcW w:w="4478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276" w:type="dxa"/>
          </w:tcPr>
          <w:p w:rsidR="00BB75FA" w:rsidRPr="002618A2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5" w:type="dxa"/>
          </w:tcPr>
          <w:p w:rsidR="00BB75FA" w:rsidRPr="002618A2" w:rsidRDefault="00BB75FA" w:rsidP="00EB6DE6">
            <w:pPr>
              <w:jc w:val="center"/>
            </w:pPr>
            <w:r>
              <w:t>2023 год</w:t>
            </w:r>
          </w:p>
        </w:tc>
        <w:tc>
          <w:tcPr>
            <w:tcW w:w="1332" w:type="dxa"/>
          </w:tcPr>
          <w:p w:rsidR="00BB75FA" w:rsidRPr="002618A2" w:rsidRDefault="00BB75FA" w:rsidP="00EB6DE6">
            <w:pPr>
              <w:jc w:val="center"/>
            </w:pPr>
            <w:r>
              <w:t>2024 год</w:t>
            </w:r>
          </w:p>
        </w:tc>
        <w:tc>
          <w:tcPr>
            <w:tcW w:w="3204" w:type="dxa"/>
          </w:tcPr>
          <w:p w:rsidR="00BB75FA" w:rsidRPr="002618A2" w:rsidRDefault="00BB75FA" w:rsidP="00EB6DE6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Наименование главного распоряди</w:t>
            </w:r>
            <w:r>
              <w:rPr>
                <w:rFonts w:ascii="Times New Roman" w:hAnsi="Times New Roman" w:cs="Times New Roman"/>
              </w:rPr>
              <w:t xml:space="preserve">теля бюджетных средств </w:t>
            </w:r>
          </w:p>
        </w:tc>
      </w:tr>
      <w:tr w:rsidR="00FE7C4B" w:rsidRPr="002618A2" w:rsidTr="00BB75FA">
        <w:tc>
          <w:tcPr>
            <w:tcW w:w="4478" w:type="dxa"/>
          </w:tcPr>
          <w:p w:rsidR="00FE7C4B" w:rsidRPr="002618A2" w:rsidRDefault="00FE7C4B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1 645 067,6</w:t>
            </w:r>
          </w:p>
        </w:tc>
        <w:tc>
          <w:tcPr>
            <w:tcW w:w="1226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347 030,1</w:t>
            </w:r>
          </w:p>
        </w:tc>
        <w:tc>
          <w:tcPr>
            <w:tcW w:w="1276" w:type="dxa"/>
          </w:tcPr>
          <w:p w:rsidR="00FE7C4B" w:rsidRPr="003A588F" w:rsidRDefault="00FE7C4B" w:rsidP="00BB75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348 314,4</w:t>
            </w:r>
          </w:p>
        </w:tc>
        <w:tc>
          <w:tcPr>
            <w:tcW w:w="1276" w:type="dxa"/>
          </w:tcPr>
          <w:p w:rsidR="00FE7C4B" w:rsidRPr="003A588F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310 520,3</w:t>
            </w:r>
          </w:p>
        </w:tc>
        <w:tc>
          <w:tcPr>
            <w:tcW w:w="1275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1332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3204" w:type="dxa"/>
            <w:vMerge w:val="restart"/>
          </w:tcPr>
          <w:p w:rsidR="00FE7C4B" w:rsidRPr="002618A2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FE7C4B" w:rsidRPr="002618A2" w:rsidTr="00BB75FA">
        <w:tc>
          <w:tcPr>
            <w:tcW w:w="4478" w:type="dxa"/>
          </w:tcPr>
          <w:p w:rsidR="00FE7C4B" w:rsidRPr="002618A2" w:rsidRDefault="00FE7C4B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1 645 067,6</w:t>
            </w:r>
          </w:p>
        </w:tc>
        <w:tc>
          <w:tcPr>
            <w:tcW w:w="1226" w:type="dxa"/>
          </w:tcPr>
          <w:p w:rsidR="00FE7C4B" w:rsidRPr="00FE7C4B" w:rsidRDefault="00FE7C4B" w:rsidP="00FE7C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E7C4B">
              <w:rPr>
                <w:rFonts w:ascii="Times New Roman" w:hAnsi="Times New Roman" w:cs="Times New Roman"/>
                <w:szCs w:val="22"/>
              </w:rPr>
              <w:t>347 030,1</w:t>
            </w:r>
          </w:p>
        </w:tc>
        <w:tc>
          <w:tcPr>
            <w:tcW w:w="1276" w:type="dxa"/>
          </w:tcPr>
          <w:p w:rsidR="00FE7C4B" w:rsidRPr="003A588F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348 314,4</w:t>
            </w:r>
          </w:p>
        </w:tc>
        <w:tc>
          <w:tcPr>
            <w:tcW w:w="1276" w:type="dxa"/>
          </w:tcPr>
          <w:p w:rsidR="00FE7C4B" w:rsidRPr="003A588F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310 520,3</w:t>
            </w:r>
          </w:p>
        </w:tc>
        <w:tc>
          <w:tcPr>
            <w:tcW w:w="1275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1332" w:type="dxa"/>
          </w:tcPr>
          <w:p w:rsidR="00FE7C4B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 w:rsidRPr="003A588F">
              <w:rPr>
                <w:sz w:val="22"/>
                <w:szCs w:val="22"/>
              </w:rPr>
              <w:t>319 601,4</w:t>
            </w:r>
          </w:p>
        </w:tc>
        <w:tc>
          <w:tcPr>
            <w:tcW w:w="3204" w:type="dxa"/>
            <w:vMerge/>
          </w:tcPr>
          <w:p w:rsidR="00FE7C4B" w:rsidRPr="002618A2" w:rsidRDefault="00FE7C4B" w:rsidP="00EB6DE6">
            <w:pPr>
              <w:rPr>
                <w:rFonts w:cs="Times New Roman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EB08EE" w:rsidRDefault="00BB75FA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</w:t>
            </w:r>
            <w:r w:rsidR="00B34562">
              <w:rPr>
                <w:rFonts w:ascii="Times New Roman" w:hAnsi="Times New Roman" w:cs="Times New Roman"/>
                <w:szCs w:val="22"/>
              </w:rPr>
              <w:t> 469 178,3</w:t>
            </w:r>
          </w:p>
        </w:tc>
        <w:tc>
          <w:tcPr>
            <w:tcW w:w="1226" w:type="dxa"/>
          </w:tcPr>
          <w:p w:rsidR="00BB75FA" w:rsidRPr="00EB08EE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312 898,5</w:t>
            </w:r>
          </w:p>
        </w:tc>
        <w:tc>
          <w:tcPr>
            <w:tcW w:w="1276" w:type="dxa"/>
          </w:tcPr>
          <w:p w:rsidR="00BB75FA" w:rsidRPr="00EB08EE" w:rsidRDefault="00BB75FA" w:rsidP="00BB75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313 926,3</w:t>
            </w:r>
          </w:p>
        </w:tc>
        <w:tc>
          <w:tcPr>
            <w:tcW w:w="1276" w:type="dxa"/>
          </w:tcPr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275 051,1</w:t>
            </w:r>
          </w:p>
        </w:tc>
        <w:tc>
          <w:tcPr>
            <w:tcW w:w="1275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332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B08EE">
              <w:rPr>
                <w:rFonts w:ascii="Times New Roman" w:hAnsi="Times New Roman" w:cs="Times New Roman"/>
                <w:szCs w:val="22"/>
              </w:rPr>
              <w:t>1</w:t>
            </w:r>
            <w:r w:rsidR="00B34562">
              <w:rPr>
                <w:rFonts w:ascii="Times New Roman" w:hAnsi="Times New Roman" w:cs="Times New Roman"/>
                <w:szCs w:val="22"/>
              </w:rPr>
              <w:t> 469 178,3</w:t>
            </w:r>
          </w:p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26" w:type="dxa"/>
          </w:tcPr>
          <w:p w:rsidR="00BB75FA" w:rsidRPr="00EB08EE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312 898,5</w:t>
            </w:r>
          </w:p>
        </w:tc>
        <w:tc>
          <w:tcPr>
            <w:tcW w:w="1276" w:type="dxa"/>
          </w:tcPr>
          <w:p w:rsidR="00BB75FA" w:rsidRPr="00EB08EE" w:rsidRDefault="00BB75FA" w:rsidP="00BB75F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313 926,3</w:t>
            </w:r>
          </w:p>
        </w:tc>
        <w:tc>
          <w:tcPr>
            <w:tcW w:w="1276" w:type="dxa"/>
          </w:tcPr>
          <w:p w:rsidR="00BB75FA" w:rsidRPr="00EB08EE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275 051,1</w:t>
            </w:r>
          </w:p>
        </w:tc>
        <w:tc>
          <w:tcPr>
            <w:tcW w:w="1275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1332" w:type="dxa"/>
          </w:tcPr>
          <w:p w:rsidR="00BB75FA" w:rsidRPr="008B6216" w:rsidRDefault="00BB75FA" w:rsidP="00EB6DE6">
            <w:pPr>
              <w:jc w:val="center"/>
            </w:pPr>
            <w:r w:rsidRPr="008B6216">
              <w:rPr>
                <w:rFonts w:cs="Times New Roman"/>
                <w:sz w:val="22"/>
                <w:szCs w:val="22"/>
              </w:rPr>
              <w:t>283 651,2</w:t>
            </w:r>
          </w:p>
        </w:tc>
        <w:tc>
          <w:tcPr>
            <w:tcW w:w="3204" w:type="dxa"/>
            <w:vMerge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="00B34562">
              <w:rPr>
                <w:rFonts w:ascii="Times New Roman" w:hAnsi="Times New Roman" w:cs="Times New Roman"/>
                <w:szCs w:val="22"/>
              </w:rPr>
              <w:t> 901,1</w:t>
            </w:r>
          </w:p>
        </w:tc>
        <w:tc>
          <w:tcPr>
            <w:tcW w:w="1226" w:type="dxa"/>
          </w:tcPr>
          <w:p w:rsidR="00BB75FA" w:rsidRPr="003A588F" w:rsidRDefault="00FD22F9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10 917,0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11 106,2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</w:t>
            </w:r>
            <w:r>
              <w:rPr>
                <w:rFonts w:ascii="Times New Roman" w:hAnsi="Times New Roman" w:cs="Times New Roman"/>
                <w:szCs w:val="22"/>
              </w:rPr>
              <w:t xml:space="preserve">агоустройства Администрации городского округа </w:t>
            </w:r>
            <w:r w:rsidRPr="00BB75FA">
              <w:rPr>
                <w:rFonts w:ascii="Times New Roman" w:hAnsi="Times New Roman" w:cs="Times New Roman"/>
                <w:szCs w:val="22"/>
              </w:rPr>
              <w:t>Электросталь</w:t>
            </w:r>
            <w:r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="00B34562">
              <w:rPr>
                <w:rFonts w:ascii="Times New Roman" w:hAnsi="Times New Roman" w:cs="Times New Roman"/>
                <w:szCs w:val="22"/>
              </w:rPr>
              <w:t> 901,1</w:t>
            </w:r>
          </w:p>
        </w:tc>
        <w:tc>
          <w:tcPr>
            <w:tcW w:w="1226" w:type="dxa"/>
          </w:tcPr>
          <w:p w:rsidR="00BB75FA" w:rsidRPr="003A588F" w:rsidRDefault="00BB75FA" w:rsidP="00FD22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10</w:t>
            </w:r>
            <w:r w:rsidR="00FD22F9">
              <w:rPr>
                <w:rFonts w:ascii="Times New Roman" w:hAnsi="Times New Roman" w:cs="Times New Roman"/>
                <w:szCs w:val="22"/>
              </w:rPr>
              <w:t> 917,0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11</w:t>
            </w:r>
            <w:r>
              <w:rPr>
                <w:rFonts w:ascii="Times New Roman" w:hAnsi="Times New Roman" w:cs="Times New Roman"/>
                <w:szCs w:val="22"/>
              </w:rPr>
              <w:t> 106,2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12 305,3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12 786,3</w:t>
            </w:r>
          </w:p>
        </w:tc>
        <w:tc>
          <w:tcPr>
            <w:tcW w:w="3204" w:type="dxa"/>
            <w:vMerge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по ГРБС, в том числе: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115</w:t>
            </w:r>
            <w:r w:rsidR="00B34562">
              <w:rPr>
                <w:rFonts w:ascii="Times New Roman" w:hAnsi="Times New Roman" w:cs="Times New Roman"/>
                <w:szCs w:val="22"/>
              </w:rPr>
              <w:t> 988,2</w:t>
            </w:r>
          </w:p>
        </w:tc>
        <w:tc>
          <w:tcPr>
            <w:tcW w:w="1226" w:type="dxa"/>
          </w:tcPr>
          <w:p w:rsidR="00BB75FA" w:rsidRPr="003A588F" w:rsidRDefault="00FE7C4B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23 214,6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3204" w:type="dxa"/>
            <w:vMerge w:val="restart"/>
          </w:tcPr>
          <w:p w:rsidR="00BB75FA" w:rsidRPr="00BB75FA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B75FA">
              <w:rPr>
                <w:rFonts w:ascii="Times New Roman" w:hAnsi="Times New Roman" w:cs="Times New Roman"/>
                <w:szCs w:val="22"/>
              </w:rPr>
              <w:t xml:space="preserve">Финансовое управление </w:t>
            </w:r>
            <w:r w:rsidRPr="00BB75FA">
              <w:rPr>
                <w:rFonts w:ascii="Times New Roman" w:hAnsi="Times New Roman" w:cs="Times New Roman"/>
                <w:szCs w:val="22"/>
              </w:rPr>
              <w:lastRenderedPageBreak/>
              <w:t>Администрации городского округа Электросталь</w:t>
            </w:r>
            <w:r>
              <w:rPr>
                <w:rFonts w:ascii="Times New Roman" w:hAnsi="Times New Roman" w:cs="Times New Roman"/>
                <w:szCs w:val="22"/>
              </w:rPr>
              <w:t xml:space="preserve"> Московской области</w:t>
            </w:r>
          </w:p>
        </w:tc>
      </w:tr>
      <w:tr w:rsidR="00BB75FA" w:rsidRPr="002618A2" w:rsidTr="00BB75FA">
        <w:tc>
          <w:tcPr>
            <w:tcW w:w="4478" w:type="dxa"/>
          </w:tcPr>
          <w:p w:rsidR="00BB75FA" w:rsidRPr="002618A2" w:rsidRDefault="00BB75FA" w:rsidP="00BB75FA">
            <w:pPr>
              <w:pStyle w:val="ConsPlusNormal"/>
              <w:rPr>
                <w:rFonts w:ascii="Times New Roman" w:hAnsi="Times New Roman" w:cs="Times New Roman"/>
              </w:rPr>
            </w:pPr>
            <w:r w:rsidRPr="002618A2">
              <w:rPr>
                <w:rFonts w:ascii="Times New Roman" w:hAnsi="Times New Roman" w:cs="Times New Roman"/>
              </w:rPr>
              <w:lastRenderedPageBreak/>
              <w:t xml:space="preserve">Средства бюджета </w:t>
            </w:r>
            <w:r w:rsidRPr="002618A2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2618A2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B75FA" w:rsidRPr="003A588F" w:rsidRDefault="00BB75FA" w:rsidP="00B34562">
            <w:pPr>
              <w:jc w:val="center"/>
              <w:rPr>
                <w:sz w:val="22"/>
                <w:szCs w:val="22"/>
              </w:rPr>
            </w:pPr>
            <w:r w:rsidRPr="003A588F">
              <w:rPr>
                <w:rFonts w:cs="Times New Roman"/>
                <w:sz w:val="22"/>
                <w:szCs w:val="22"/>
              </w:rPr>
              <w:t>115</w:t>
            </w:r>
            <w:r w:rsidR="00B34562">
              <w:rPr>
                <w:rFonts w:cs="Times New Roman"/>
                <w:sz w:val="22"/>
                <w:szCs w:val="22"/>
              </w:rPr>
              <w:t> 988,2</w:t>
            </w:r>
          </w:p>
        </w:tc>
        <w:tc>
          <w:tcPr>
            <w:tcW w:w="1226" w:type="dxa"/>
          </w:tcPr>
          <w:p w:rsidR="00BB75FA" w:rsidRPr="003A588F" w:rsidRDefault="00FE7C4B" w:rsidP="00EB6DE6">
            <w:pPr>
              <w:jc w:val="center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23 214,6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23 281,9</w:t>
            </w:r>
          </w:p>
        </w:tc>
        <w:tc>
          <w:tcPr>
            <w:tcW w:w="1276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275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1332" w:type="dxa"/>
          </w:tcPr>
          <w:p w:rsidR="00BB75FA" w:rsidRPr="003A588F" w:rsidRDefault="00BB75FA" w:rsidP="00EB6D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A588F">
              <w:rPr>
                <w:rFonts w:ascii="Times New Roman" w:hAnsi="Times New Roman" w:cs="Times New Roman"/>
                <w:szCs w:val="22"/>
              </w:rPr>
              <w:t>23 163,9</w:t>
            </w:r>
          </w:p>
        </w:tc>
        <w:tc>
          <w:tcPr>
            <w:tcW w:w="3204" w:type="dxa"/>
            <w:vMerge/>
          </w:tcPr>
          <w:p w:rsidR="00BB75FA" w:rsidRPr="001248C6" w:rsidRDefault="00BB75FA" w:rsidP="00EB6D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</w:rPr>
      </w:pPr>
    </w:p>
    <w:p w:rsidR="00122EED" w:rsidRPr="008B6216" w:rsidRDefault="00122EED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A2742E" w:rsidRDefault="00A2742E" w:rsidP="00EE55C3">
      <w:pPr>
        <w:tabs>
          <w:tab w:val="left" w:pos="851"/>
        </w:tabs>
        <w:ind w:right="-711"/>
        <w:jc w:val="center"/>
        <w:rPr>
          <w:rFonts w:cs="Times New Roman"/>
        </w:rPr>
      </w:pPr>
    </w:p>
    <w:p w:rsidR="00EE55C3" w:rsidRPr="008B6216" w:rsidRDefault="00EE55C3" w:rsidP="00EE55C3">
      <w:pPr>
        <w:tabs>
          <w:tab w:val="left" w:pos="851"/>
        </w:tabs>
        <w:ind w:right="-711"/>
        <w:jc w:val="center"/>
      </w:pPr>
      <w:r w:rsidRPr="008B6216">
        <w:rPr>
          <w:rFonts w:cs="Times New Roman"/>
        </w:rPr>
        <w:t>2. Характеристика проблем</w:t>
      </w:r>
      <w:r w:rsidRPr="008B6216">
        <w:t>, решаемых посредством мероприятий подпрограммы</w:t>
      </w:r>
    </w:p>
    <w:p w:rsidR="00EE55C3" w:rsidRPr="008B6216" w:rsidRDefault="00EE55C3" w:rsidP="00EE55C3">
      <w:pPr>
        <w:tabs>
          <w:tab w:val="left" w:pos="851"/>
        </w:tabs>
        <w:jc w:val="both"/>
        <w:rPr>
          <w:rFonts w:cs="Times New Roman"/>
        </w:rPr>
      </w:pP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Полноценное и своевременное обеспечение деятельности сотрудников органов местного самоуправления городского округа Электросталь Московской области и подведомственных ей муниципальных учреждений направлено на создание условий для эффективной реализации возложенных на них полномочий и в настоящее время невозможно без решения проблем материально-технического и ресурсного обеспечения.</w:t>
      </w:r>
    </w:p>
    <w:p w:rsidR="00EE55C3" w:rsidRPr="008B6216" w:rsidRDefault="00EE55C3" w:rsidP="00EE55C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8B6216">
        <w:rPr>
          <w:rFonts w:cs="Times New Roman"/>
        </w:rPr>
        <w:t>Задачей Подпрограммы является повышение эффективности организационного, нормативного, правового и финансового обеспечения деятельности</w:t>
      </w:r>
      <w:r w:rsidR="003954B0">
        <w:rPr>
          <w:rFonts w:cs="Times New Roman"/>
        </w:rPr>
        <w:t xml:space="preserve"> </w:t>
      </w:r>
      <w:r w:rsidRPr="008B6216">
        <w:rPr>
          <w:rFonts w:cs="Times New Roman"/>
        </w:rPr>
        <w:t>Администрации городского округа Электросталь Московской области и подведомственных ей учреждений, а также Комитета имущественных отношений Администрации городского округа Электросталь Московской области и Финансового управления Администрации городского округа Электросталь Московской области, являющихся заказчиками подпрограмм настоящей муниципальной программы.</w:t>
      </w:r>
    </w:p>
    <w:p w:rsidR="00122EED" w:rsidRPr="008B6216" w:rsidRDefault="00EE55C3" w:rsidP="00122EED">
      <w:pPr>
        <w:pStyle w:val="ConsPlusNormal"/>
        <w:ind w:firstLine="540"/>
        <w:jc w:val="both"/>
      </w:pPr>
      <w:r w:rsidRPr="008B6216">
        <w:rPr>
          <w:rFonts w:ascii="Times New Roman" w:hAnsi="Times New Roman" w:cs="Times New Roman"/>
          <w:sz w:val="24"/>
          <w:szCs w:val="24"/>
        </w:rPr>
        <w:t>Реализация в полном объеме мероприятий подпрограммы позволит создать условия для эффективной работы органов местного самоуправления городского округа Электросталь в части обеспечения качества и доступности муниципальных услуг, предоставляемых населению, внедрения в деятельность органов местного самоуправления городского округа Электросталь Московской области современных методов управления, обеспечения долгосрочной сбалансированности и устойчивости бюджетной системы, развития и повышения эффективности управления имущественным комплексом, развития институтов общественного участия в процессе формирования и согласования принимаемых решений на муниципальном уровне</w:t>
      </w:r>
      <w:r w:rsidRPr="008B6216">
        <w:t>.</w:t>
      </w:r>
    </w:p>
    <w:p w:rsidR="00122EED" w:rsidRPr="008B6216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22EED" w:rsidRDefault="00122EED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C492A" w:rsidRPr="008B6216" w:rsidRDefault="00AC492A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E4970" w:rsidRPr="008B6216" w:rsidRDefault="007E4970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>3. Перечень мероприятий подпрограммы</w:t>
      </w:r>
    </w:p>
    <w:p w:rsidR="00EE55C3" w:rsidRPr="008B6216" w:rsidRDefault="00EE55C3" w:rsidP="00EE55C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6216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EE55C3" w:rsidRPr="008B6216" w:rsidRDefault="00EE55C3" w:rsidP="00EE55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67"/>
        <w:gridCol w:w="1267"/>
        <w:gridCol w:w="1710"/>
        <w:gridCol w:w="1350"/>
        <w:gridCol w:w="992"/>
        <w:gridCol w:w="992"/>
        <w:gridCol w:w="992"/>
        <w:gridCol w:w="993"/>
        <w:gridCol w:w="996"/>
        <w:gridCol w:w="2269"/>
        <w:gridCol w:w="1702"/>
      </w:tblGrid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№</w:t>
            </w:r>
          </w:p>
          <w:p w:rsidR="00AA7367" w:rsidRPr="008B6216" w:rsidRDefault="00AA7367" w:rsidP="00093CA5">
            <w:pPr>
              <w:pStyle w:val="ConsPlusNormal"/>
              <w:ind w:left="-133" w:firstLine="133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50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965" w:type="dxa"/>
            <w:gridSpan w:val="5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5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AA7367" w:rsidP="00F60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3D1A4F">
              <w:rPr>
                <w:rFonts w:ascii="Times New Roman" w:hAnsi="Times New Roman" w:cs="Times New Roman"/>
                <w:sz w:val="20"/>
              </w:rPr>
              <w:t> 645 067,6</w:t>
            </w:r>
          </w:p>
          <w:p w:rsidR="00AA7367" w:rsidRPr="00EB08EE" w:rsidRDefault="00AA7367" w:rsidP="00F60D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1D5B65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AA7367" w:rsidRPr="00EB08EE" w:rsidRDefault="004630C5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348 314,4</w:t>
            </w:r>
          </w:p>
          <w:p w:rsidR="00AA7367" w:rsidRPr="00EB08EE" w:rsidRDefault="00AA7367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AA7367" w:rsidP="00295E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 w:rsidR="004630C5">
              <w:rPr>
                <w:rFonts w:ascii="Times New Roman" w:hAnsi="Times New Roman" w:cs="Times New Roman"/>
                <w:sz w:val="20"/>
              </w:rPr>
              <w:t>10 520,3</w:t>
            </w:r>
          </w:p>
        </w:tc>
        <w:tc>
          <w:tcPr>
            <w:tcW w:w="993" w:type="dxa"/>
          </w:tcPr>
          <w:p w:rsidR="00AA7367" w:rsidRPr="008B6216" w:rsidRDefault="00AA7367" w:rsidP="00BF45C2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1A4F" w:rsidRPr="008B6216" w:rsidTr="0069304B">
        <w:tc>
          <w:tcPr>
            <w:tcW w:w="563" w:type="dxa"/>
            <w:vMerge/>
          </w:tcPr>
          <w:p w:rsidR="003D1A4F" w:rsidRPr="008B6216" w:rsidRDefault="003D1A4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3D1A4F" w:rsidRPr="008B6216" w:rsidRDefault="003D1A4F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D1A4F" w:rsidRPr="008B6216" w:rsidRDefault="003D1A4F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D1A4F" w:rsidRPr="008B6216" w:rsidRDefault="003D1A4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3D1A4F" w:rsidRPr="00EB08EE" w:rsidRDefault="003D1A4F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 645 067,6</w:t>
            </w:r>
          </w:p>
          <w:p w:rsidR="003D1A4F" w:rsidRPr="00EB08EE" w:rsidRDefault="003D1A4F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D1A4F" w:rsidRPr="00EB08EE" w:rsidRDefault="003D1A4F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3D1A4F" w:rsidRPr="00EB08EE" w:rsidRDefault="003D1A4F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348 314,4</w:t>
            </w:r>
          </w:p>
          <w:p w:rsidR="003D1A4F" w:rsidRPr="00EB08EE" w:rsidRDefault="003D1A4F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D1A4F" w:rsidRPr="00EB08EE" w:rsidRDefault="003D1A4F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10 520,3</w:t>
            </w:r>
          </w:p>
        </w:tc>
        <w:tc>
          <w:tcPr>
            <w:tcW w:w="993" w:type="dxa"/>
          </w:tcPr>
          <w:p w:rsidR="003D1A4F" w:rsidRPr="008B6216" w:rsidRDefault="003D1A4F" w:rsidP="00537661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3D1A4F" w:rsidRPr="008B6216" w:rsidRDefault="003D1A4F" w:rsidP="00537661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2269" w:type="dxa"/>
            <w:vMerge/>
          </w:tcPr>
          <w:p w:rsidR="003D1A4F" w:rsidRPr="008B6216" w:rsidRDefault="003D1A4F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3D1A4F" w:rsidRPr="008B6216" w:rsidRDefault="003D1A4F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AA7367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</w:t>
            </w:r>
            <w:r w:rsidR="003D1A4F">
              <w:rPr>
                <w:rFonts w:ascii="Times New Roman" w:hAnsi="Times New Roman" w:cs="Times New Roman"/>
                <w:sz w:val="20"/>
              </w:rPr>
              <w:t> 769,0</w:t>
            </w:r>
          </w:p>
        </w:tc>
        <w:tc>
          <w:tcPr>
            <w:tcW w:w="992" w:type="dxa"/>
          </w:tcPr>
          <w:p w:rsidR="00AA7367" w:rsidRPr="00EB08EE" w:rsidRDefault="00902F5C" w:rsidP="001D5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3810C0">
              <w:rPr>
                <w:rFonts w:ascii="Times New Roman" w:hAnsi="Times New Roman" w:cs="Times New Roman"/>
                <w:sz w:val="20"/>
              </w:rPr>
              <w:t> 812,</w:t>
            </w:r>
            <w:r w:rsidR="001D5B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A7367" w:rsidRPr="00EB08EE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AA7367" w:rsidRPr="00EB08EE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AA7367" w:rsidRPr="008B6216" w:rsidRDefault="00AA7367" w:rsidP="00EA6C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высшего должностного лица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2742E" w:rsidRPr="008B6216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AA7367" w:rsidRPr="00EB08EE" w:rsidRDefault="00AA7367" w:rsidP="003D1A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10</w:t>
            </w:r>
            <w:r w:rsidR="003D1A4F">
              <w:rPr>
                <w:rFonts w:ascii="Times New Roman" w:hAnsi="Times New Roman" w:cs="Times New Roman"/>
                <w:sz w:val="20"/>
              </w:rPr>
              <w:t> 769,0</w:t>
            </w:r>
          </w:p>
        </w:tc>
        <w:tc>
          <w:tcPr>
            <w:tcW w:w="992" w:type="dxa"/>
          </w:tcPr>
          <w:p w:rsidR="00AA7367" w:rsidRPr="00EB08EE" w:rsidRDefault="00AA7367" w:rsidP="001D5B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3810C0">
              <w:rPr>
                <w:rFonts w:ascii="Times New Roman" w:hAnsi="Times New Roman" w:cs="Times New Roman"/>
                <w:sz w:val="20"/>
              </w:rPr>
              <w:t> 812,</w:t>
            </w:r>
            <w:r w:rsidR="001D5B6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AA7367" w:rsidRPr="00EB08EE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2 444,5</w:t>
            </w:r>
          </w:p>
        </w:tc>
        <w:tc>
          <w:tcPr>
            <w:tcW w:w="992" w:type="dxa"/>
          </w:tcPr>
          <w:p w:rsidR="00AA7367" w:rsidRPr="00EB08EE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2 200,0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2 156,0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деятельности Администрации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EB08EE" w:rsidRDefault="003D1A4F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649 117,8</w:t>
            </w:r>
          </w:p>
          <w:p w:rsidR="00AA7367" w:rsidRPr="00EB08EE" w:rsidRDefault="00AA7367" w:rsidP="000F5E7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3810C0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141 771,</w:t>
            </w:r>
            <w:r w:rsidR="001D5B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A7367" w:rsidRPr="00EB08EE" w:rsidRDefault="00AA7367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141 731</w:t>
            </w:r>
            <w:r w:rsidR="004630C5">
              <w:rPr>
                <w:rFonts w:ascii="Times New Roman" w:hAnsi="Times New Roman" w:cs="Times New Roman"/>
                <w:sz w:val="20"/>
              </w:rPr>
              <w:t>,1</w:t>
            </w:r>
          </w:p>
          <w:p w:rsidR="00AA7367" w:rsidRPr="00EB08EE" w:rsidRDefault="00AA7367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73401F" w:rsidP="004959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115 099,8</w:t>
            </w:r>
          </w:p>
        </w:tc>
        <w:tc>
          <w:tcPr>
            <w:tcW w:w="993" w:type="dxa"/>
          </w:tcPr>
          <w:p w:rsidR="00AA7367" w:rsidRPr="008B6216" w:rsidRDefault="00AA7367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6" w:type="dxa"/>
          </w:tcPr>
          <w:p w:rsidR="00AA7367" w:rsidRPr="008B6216" w:rsidRDefault="00AA7367" w:rsidP="001F697C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деятельности Администрации городского округа Электросталь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</w:tcPr>
          <w:p w:rsidR="00AA7367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A2742E" w:rsidRPr="008B6216" w:rsidRDefault="00A2742E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AA7367" w:rsidRPr="00EB08EE" w:rsidRDefault="003D1A4F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649 117,8</w:t>
            </w:r>
          </w:p>
          <w:p w:rsidR="00AA7367" w:rsidRPr="00EB08EE" w:rsidRDefault="00AA7367" w:rsidP="00527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3810C0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141 771,</w:t>
            </w:r>
            <w:r w:rsidR="001D5B6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AA7367" w:rsidRPr="00EB08EE" w:rsidRDefault="004630C5" w:rsidP="004E1A4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141 731,1</w:t>
            </w:r>
          </w:p>
          <w:p w:rsidR="00AA7367" w:rsidRPr="00EB08EE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AA7367" w:rsidRPr="00EB08EE" w:rsidRDefault="0073401F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115 099,8</w:t>
            </w:r>
          </w:p>
        </w:tc>
        <w:tc>
          <w:tcPr>
            <w:tcW w:w="993" w:type="dxa"/>
          </w:tcPr>
          <w:p w:rsidR="00AA7367" w:rsidRPr="008B6216" w:rsidRDefault="00AA7367" w:rsidP="00537661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996" w:type="dxa"/>
          </w:tcPr>
          <w:p w:rsidR="00AA7367" w:rsidRPr="008B6216" w:rsidRDefault="00AA7367" w:rsidP="00537661">
            <w:r w:rsidRPr="008B6216">
              <w:rPr>
                <w:rFonts w:cs="Times New Roman"/>
                <w:sz w:val="20"/>
              </w:rPr>
              <w:t>125 257,6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01.03 Комитеты и отраслевые управления при администрации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3A0346" w:rsidP="006930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59 901,1</w:t>
            </w:r>
          </w:p>
        </w:tc>
        <w:tc>
          <w:tcPr>
            <w:tcW w:w="992" w:type="dxa"/>
          </w:tcPr>
          <w:p w:rsidR="00AA7367" w:rsidRPr="008B6216" w:rsidRDefault="00AA7367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 w:rsidR="003810C0"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  <w:r w:rsidR="000F7282">
              <w:rPr>
                <w:rFonts w:ascii="Times New Roman" w:hAnsi="Times New Roman" w:cs="Times New Roman"/>
                <w:sz w:val="20"/>
              </w:rPr>
              <w:t> 106,2</w:t>
            </w:r>
          </w:p>
        </w:tc>
        <w:tc>
          <w:tcPr>
            <w:tcW w:w="992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</w:t>
            </w:r>
            <w:r w:rsidR="000E0A04">
              <w:rPr>
                <w:rFonts w:ascii="Times New Roman" w:hAnsi="Times New Roman" w:cs="Times New Roman"/>
                <w:sz w:val="20"/>
              </w:rPr>
              <w:t xml:space="preserve">дминистрации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t>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7A6318" w:rsidP="003A03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</w:t>
            </w:r>
            <w:r w:rsidR="003A0346">
              <w:rPr>
                <w:rFonts w:ascii="Times New Roman" w:hAnsi="Times New Roman" w:cs="Times New Roman"/>
                <w:sz w:val="20"/>
              </w:rPr>
              <w:t> 901,1</w:t>
            </w:r>
          </w:p>
        </w:tc>
        <w:tc>
          <w:tcPr>
            <w:tcW w:w="992" w:type="dxa"/>
          </w:tcPr>
          <w:p w:rsidR="00AA7367" w:rsidRPr="008B6216" w:rsidRDefault="00AA7367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 w:rsidR="003810C0"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AA7367" w:rsidRPr="008B6216" w:rsidRDefault="00AA7367" w:rsidP="000F72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  <w:r w:rsidR="000F7282">
              <w:rPr>
                <w:rFonts w:ascii="Times New Roman" w:hAnsi="Times New Roman" w:cs="Times New Roman"/>
                <w:sz w:val="20"/>
              </w:rPr>
              <w:t> 106,2</w:t>
            </w:r>
          </w:p>
        </w:tc>
        <w:tc>
          <w:tcPr>
            <w:tcW w:w="992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AA7367" w:rsidRPr="008B6216" w:rsidRDefault="00AA7367" w:rsidP="007E49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346" w:rsidRPr="008B6216" w:rsidTr="0069304B">
        <w:trPr>
          <w:trHeight w:val="967"/>
        </w:trPr>
        <w:tc>
          <w:tcPr>
            <w:tcW w:w="563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1767" w:type="dxa"/>
            <w:vMerge w:val="restart"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C47D80">
              <w:rPr>
                <w:rFonts w:cs="Times New Roman"/>
                <w:sz w:val="20"/>
              </w:rPr>
              <w:t>59 901,1</w:t>
            </w:r>
          </w:p>
        </w:tc>
        <w:tc>
          <w:tcPr>
            <w:tcW w:w="992" w:type="dxa"/>
          </w:tcPr>
          <w:p w:rsidR="003A0346" w:rsidRPr="008B6216" w:rsidRDefault="003A0346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3A0346" w:rsidRPr="008B6216" w:rsidRDefault="003A0346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 106,2</w:t>
            </w:r>
          </w:p>
        </w:tc>
        <w:tc>
          <w:tcPr>
            <w:tcW w:w="992" w:type="dxa"/>
          </w:tcPr>
          <w:p w:rsidR="003A0346" w:rsidRPr="008B6216" w:rsidRDefault="003A0346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3A0346" w:rsidRPr="008B6216" w:rsidRDefault="003A0346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3A0346" w:rsidRPr="008B6216" w:rsidRDefault="003A0346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Комитета по строительству, дорожной деятельности и благоустройства Администрации городского округа Электросталь</w:t>
            </w:r>
          </w:p>
        </w:tc>
      </w:tr>
      <w:tr w:rsidR="003A0346" w:rsidRPr="008B6216" w:rsidTr="0069304B">
        <w:tc>
          <w:tcPr>
            <w:tcW w:w="563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034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C47D80">
              <w:rPr>
                <w:rFonts w:cs="Times New Roman"/>
                <w:sz w:val="20"/>
              </w:rPr>
              <w:t>59 901,1</w:t>
            </w:r>
          </w:p>
        </w:tc>
        <w:tc>
          <w:tcPr>
            <w:tcW w:w="992" w:type="dxa"/>
          </w:tcPr>
          <w:p w:rsidR="003A0346" w:rsidRPr="008B6216" w:rsidRDefault="003A0346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</w:t>
            </w:r>
            <w:r>
              <w:rPr>
                <w:rFonts w:ascii="Times New Roman" w:hAnsi="Times New Roman" w:cs="Times New Roman"/>
                <w:sz w:val="20"/>
              </w:rPr>
              <w:t> 917,0</w:t>
            </w:r>
          </w:p>
        </w:tc>
        <w:tc>
          <w:tcPr>
            <w:tcW w:w="992" w:type="dxa"/>
          </w:tcPr>
          <w:p w:rsidR="003A0346" w:rsidRPr="008B6216" w:rsidRDefault="003A0346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</w:t>
            </w:r>
            <w:r>
              <w:rPr>
                <w:rFonts w:ascii="Times New Roman" w:hAnsi="Times New Roman" w:cs="Times New Roman"/>
                <w:sz w:val="20"/>
              </w:rPr>
              <w:t> 106,2</w:t>
            </w:r>
          </w:p>
        </w:tc>
        <w:tc>
          <w:tcPr>
            <w:tcW w:w="992" w:type="dxa"/>
          </w:tcPr>
          <w:p w:rsidR="003A0346" w:rsidRPr="008B6216" w:rsidRDefault="003A0346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12 305,3</w:t>
            </w:r>
          </w:p>
        </w:tc>
        <w:tc>
          <w:tcPr>
            <w:tcW w:w="993" w:type="dxa"/>
          </w:tcPr>
          <w:p w:rsidR="003A0346" w:rsidRPr="008B6216" w:rsidRDefault="003A0346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996" w:type="dxa"/>
          </w:tcPr>
          <w:p w:rsidR="003A0346" w:rsidRPr="008B6216" w:rsidRDefault="003A0346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12 786,3</w:t>
            </w:r>
          </w:p>
        </w:tc>
        <w:tc>
          <w:tcPr>
            <w:tcW w:w="2269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01.05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деятельности финансового органа 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3A03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115</w:t>
            </w:r>
            <w:r w:rsidR="003A0346">
              <w:rPr>
                <w:rFonts w:ascii="Times New Roman" w:hAnsi="Times New Roman" w:cs="Times New Roman"/>
                <w:sz w:val="20"/>
              </w:rPr>
              <w:t> 988,2</w:t>
            </w:r>
          </w:p>
        </w:tc>
        <w:tc>
          <w:tcPr>
            <w:tcW w:w="992" w:type="dxa"/>
          </w:tcPr>
          <w:p w:rsidR="00AA7367" w:rsidRPr="008B6216" w:rsidRDefault="003810C0" w:rsidP="006930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23 214,</w:t>
            </w:r>
            <w:r w:rsidR="001D5B6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3A0346">
            <w:pPr>
              <w:jc w:val="center"/>
            </w:pPr>
            <w:r w:rsidRPr="008B6216">
              <w:rPr>
                <w:rFonts w:cs="Times New Roman"/>
                <w:sz w:val="20"/>
              </w:rPr>
              <w:t>115</w:t>
            </w:r>
            <w:r w:rsidR="003A0346">
              <w:rPr>
                <w:rFonts w:cs="Times New Roman"/>
                <w:sz w:val="20"/>
              </w:rPr>
              <w:t> 988,2</w:t>
            </w:r>
          </w:p>
        </w:tc>
        <w:tc>
          <w:tcPr>
            <w:tcW w:w="992" w:type="dxa"/>
          </w:tcPr>
          <w:p w:rsidR="00AA7367" w:rsidRPr="008B6216" w:rsidRDefault="003810C0" w:rsidP="00127C6D">
            <w:pPr>
              <w:jc w:val="center"/>
            </w:pPr>
            <w:r>
              <w:rPr>
                <w:rFonts w:cs="Times New Roman"/>
                <w:sz w:val="20"/>
              </w:rPr>
              <w:t>23 214,</w:t>
            </w:r>
            <w:r w:rsidR="001D5B65">
              <w:rPr>
                <w:rFonts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AA7367" w:rsidRPr="008B6216" w:rsidRDefault="00AA7367" w:rsidP="005B53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0346" w:rsidRPr="008B6216" w:rsidTr="0069304B">
        <w:tc>
          <w:tcPr>
            <w:tcW w:w="563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1.4.1</w:t>
            </w:r>
          </w:p>
        </w:tc>
        <w:tc>
          <w:tcPr>
            <w:tcW w:w="1767" w:type="dxa"/>
            <w:vMerge w:val="restart"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267" w:type="dxa"/>
            <w:vMerge w:val="restart"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6557DE">
              <w:rPr>
                <w:rFonts w:cs="Times New Roman"/>
                <w:sz w:val="20"/>
              </w:rPr>
              <w:t>115 988,2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23 214,6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Финансовое управление Администрации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финансирования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деятельности  Финансового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управления Администрации городского округа Электросталь</w:t>
            </w:r>
          </w:p>
        </w:tc>
      </w:tr>
      <w:tr w:rsidR="003A0346" w:rsidRPr="008B6216" w:rsidTr="0069304B">
        <w:tc>
          <w:tcPr>
            <w:tcW w:w="563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3A0346" w:rsidRPr="008B6216" w:rsidRDefault="003A0346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3A0346" w:rsidRPr="008B6216" w:rsidRDefault="003A0346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3A034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</w:tcPr>
          <w:p w:rsidR="003A0346" w:rsidRDefault="003A0346" w:rsidP="003A0346">
            <w:pPr>
              <w:jc w:val="center"/>
            </w:pPr>
            <w:r w:rsidRPr="006557DE">
              <w:rPr>
                <w:rFonts w:cs="Times New Roman"/>
                <w:sz w:val="20"/>
              </w:rPr>
              <w:t>115 988,2</w:t>
            </w:r>
          </w:p>
        </w:tc>
        <w:tc>
          <w:tcPr>
            <w:tcW w:w="992" w:type="dxa"/>
          </w:tcPr>
          <w:p w:rsidR="003A0346" w:rsidRPr="008B6216" w:rsidRDefault="003A0346" w:rsidP="003D1A4F">
            <w:pPr>
              <w:jc w:val="center"/>
            </w:pPr>
            <w:r>
              <w:rPr>
                <w:rFonts w:cs="Times New Roman"/>
                <w:sz w:val="20"/>
              </w:rPr>
              <w:t>23 214,6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23 281,9</w:t>
            </w:r>
          </w:p>
        </w:tc>
        <w:tc>
          <w:tcPr>
            <w:tcW w:w="992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3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996" w:type="dxa"/>
          </w:tcPr>
          <w:p w:rsidR="003A0346" w:rsidRPr="008B6216" w:rsidRDefault="003A0346" w:rsidP="002C6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23 163,9</w:t>
            </w:r>
          </w:p>
        </w:tc>
        <w:tc>
          <w:tcPr>
            <w:tcW w:w="2269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3A0346" w:rsidRPr="008B6216" w:rsidRDefault="003A0346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1.5.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01.06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централизованная бухгалтерия муниципального образования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320 551,6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320 551,6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1.5.1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Муниципальное бюджетное учреждение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320 551,6</w:t>
            </w:r>
          </w:p>
        </w:tc>
        <w:tc>
          <w:tcPr>
            <w:tcW w:w="992" w:type="dxa"/>
          </w:tcPr>
          <w:p w:rsidR="00AA7367" w:rsidRPr="008B6216" w:rsidRDefault="00AA7367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МБУ «Централизованная бухгалтерия муниципальных учреждений городского округа Электросталь Московской области»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МБУ «Централизованная бухгалтерия муниципальных учреждений городского округа Электросталь Московской области»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320 551,6</w:t>
            </w:r>
          </w:p>
        </w:tc>
        <w:tc>
          <w:tcPr>
            <w:tcW w:w="992" w:type="dxa"/>
          </w:tcPr>
          <w:p w:rsidR="00AA7367" w:rsidRPr="008B6216" w:rsidRDefault="00AA7367" w:rsidP="00BF4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71 551,6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68 000,0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61 200,0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59 900,0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rPr>
          <w:trHeight w:val="20"/>
        </w:trPr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01.07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Расходы на обеспечение деятельности (оказание услуг) муниципальных учреждений - обеспечение деятельности органов местного самоуправления 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3A0346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487 060,8</w:t>
            </w:r>
          </w:p>
        </w:tc>
        <w:tc>
          <w:tcPr>
            <w:tcW w:w="992" w:type="dxa"/>
          </w:tcPr>
          <w:p w:rsidR="00AA7367" w:rsidRPr="008B6216" w:rsidRDefault="001D5B65" w:rsidP="003810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  <w:r w:rsidR="003810C0">
              <w:rPr>
                <w:rFonts w:ascii="Times New Roman" w:hAnsi="Times New Roman" w:cs="Times New Roman"/>
                <w:sz w:val="20"/>
              </w:rPr>
              <w:t> 411,8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101 382,5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96 221,3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«Управление обеспечения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деятельности органов местного самоуправления городского округа Электросталь Московской области»,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городского округа Электросталь Московской области «Управление по конкурентной политике и координации закупок»,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3A0346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487 060,8</w:t>
            </w:r>
          </w:p>
        </w:tc>
        <w:tc>
          <w:tcPr>
            <w:tcW w:w="992" w:type="dxa"/>
          </w:tcPr>
          <w:p w:rsidR="00AA7367" w:rsidRPr="008B6216" w:rsidRDefault="001D5B65" w:rsidP="00732B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</w:t>
            </w:r>
            <w:r w:rsidR="003810C0">
              <w:rPr>
                <w:rFonts w:ascii="Times New Roman" w:hAnsi="Times New Roman" w:cs="Times New Roman"/>
                <w:sz w:val="20"/>
              </w:rPr>
              <w:t> 411,8</w:t>
            </w:r>
          </w:p>
        </w:tc>
        <w:tc>
          <w:tcPr>
            <w:tcW w:w="992" w:type="dxa"/>
          </w:tcPr>
          <w:p w:rsidR="00AA7367" w:rsidRPr="008B6216" w:rsidRDefault="00AA7367" w:rsidP="00527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101 382,5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96 221,3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96 022,6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1.6.1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AC6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352 764,4</w:t>
            </w:r>
          </w:p>
        </w:tc>
        <w:tc>
          <w:tcPr>
            <w:tcW w:w="992" w:type="dxa"/>
          </w:tcPr>
          <w:p w:rsidR="00AA7367" w:rsidRPr="00AC492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72 284,5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72 145,6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69 206,1</w:t>
            </w:r>
          </w:p>
        </w:tc>
        <w:tc>
          <w:tcPr>
            <w:tcW w:w="993" w:type="dxa"/>
          </w:tcPr>
          <w:p w:rsidR="00AA7367" w:rsidRPr="008B6216" w:rsidRDefault="00AA7367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69 564,1</w:t>
            </w:r>
          </w:p>
        </w:tc>
        <w:tc>
          <w:tcPr>
            <w:tcW w:w="996" w:type="dxa"/>
          </w:tcPr>
          <w:p w:rsidR="00AA7367" w:rsidRPr="008B6216" w:rsidRDefault="00AA7367" w:rsidP="00E6513C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69 564,1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1.6.2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 xml:space="preserve">Муниципальное казенное учреждение городского округа Электросталь </w:t>
            </w:r>
            <w:r w:rsidRPr="008B6216">
              <w:rPr>
                <w:rFonts w:cs="Times New Roman"/>
                <w:sz w:val="20"/>
                <w:szCs w:val="20"/>
              </w:rPr>
              <w:lastRenderedPageBreak/>
              <w:t>Московской области «Управление по конкурентной политике и координации закупок»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Московской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области</w:t>
            </w:r>
          </w:p>
        </w:tc>
        <w:tc>
          <w:tcPr>
            <w:tcW w:w="135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77 992,8</w:t>
            </w:r>
          </w:p>
        </w:tc>
        <w:tc>
          <w:tcPr>
            <w:tcW w:w="992" w:type="dxa"/>
          </w:tcPr>
          <w:p w:rsidR="00AA7367" w:rsidRPr="00AC492A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14 432,9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17 338,2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15 616,3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</w:rPr>
            </w:pPr>
            <w:r w:rsidRPr="008B6216">
              <w:rPr>
                <w:rFonts w:cs="Times New Roman"/>
                <w:sz w:val="20"/>
              </w:rPr>
              <w:t>15 302,7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МКУ городского </w:t>
            </w:r>
            <w:proofErr w:type="gramStart"/>
            <w:r w:rsidRPr="008B6216">
              <w:rPr>
                <w:rFonts w:ascii="Times New Roman" w:hAnsi="Times New Roman" w:cs="Times New Roman"/>
                <w:sz w:val="20"/>
              </w:rPr>
              <w:t>округа .Электросталь</w:t>
            </w:r>
            <w:proofErr w:type="gramEnd"/>
            <w:r w:rsidRPr="008B6216">
              <w:rPr>
                <w:rFonts w:ascii="Times New Roman" w:hAnsi="Times New Roman" w:cs="Times New Roman"/>
                <w:sz w:val="20"/>
              </w:rPr>
              <w:t xml:space="preserve"> Московской области «Управление по конкурентной политике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и координации закупок»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финансирования деятельности МКУ городского округа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 «Управление по конкурентной политике и координации закупок»</w:t>
            </w:r>
          </w:p>
        </w:tc>
      </w:tr>
      <w:tr w:rsidR="00AA7367" w:rsidRPr="008B6216" w:rsidTr="0069304B">
        <w:tc>
          <w:tcPr>
            <w:tcW w:w="563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1.6.3</w:t>
            </w:r>
          </w:p>
        </w:tc>
        <w:tc>
          <w:tcPr>
            <w:tcW w:w="1767" w:type="dxa"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Муниципальное казенное учреждение «Департамент по развитию промышленности, инвестиционной политике и рекламе городского круга Электросталь Московской области»</w:t>
            </w:r>
          </w:p>
        </w:tc>
        <w:tc>
          <w:tcPr>
            <w:tcW w:w="1267" w:type="dxa"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56 303,5</w:t>
            </w:r>
          </w:p>
        </w:tc>
        <w:tc>
          <w:tcPr>
            <w:tcW w:w="992" w:type="dxa"/>
          </w:tcPr>
          <w:p w:rsidR="00AA7367" w:rsidRPr="00AC492A" w:rsidRDefault="00AA7367" w:rsidP="00E055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492A">
              <w:rPr>
                <w:rFonts w:ascii="Times New Roman" w:hAnsi="Times New Roman" w:cs="Times New Roman"/>
                <w:sz w:val="20"/>
              </w:rPr>
              <w:t>10 694,3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11 898,7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11 398,9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11 155,8</w:t>
            </w:r>
          </w:p>
        </w:tc>
        <w:tc>
          <w:tcPr>
            <w:tcW w:w="2269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  <w:tc>
          <w:tcPr>
            <w:tcW w:w="1702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деятельности МКУ «Департамент по развитию промышленности, инвестиционной политике и рекламе»</w:t>
            </w: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01.08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мероприятий по мобилизационной подготовке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450,0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90,0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85,0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1767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01.10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Взносы в общественные организации (Уплата членских взносов членами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Совета муниципальных образований Московской области)</w:t>
            </w:r>
          </w:p>
        </w:tc>
        <w:tc>
          <w:tcPr>
            <w:tcW w:w="1267" w:type="dxa"/>
            <w:vMerge w:val="restart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2020-2024</w:t>
            </w: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AA7367" w:rsidRPr="008B6216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AA7367" w:rsidRPr="008B6216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</w:t>
            </w:r>
            <w:r w:rsidR="001472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8B6216" w:rsidRDefault="00AA7367" w:rsidP="005376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уплаты взносов в общественные организации</w:t>
            </w:r>
          </w:p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7367" w:rsidRPr="008B6216" w:rsidTr="0069304B">
        <w:tc>
          <w:tcPr>
            <w:tcW w:w="563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AA7367" w:rsidRPr="008B6216" w:rsidRDefault="00AA7367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AA7367" w:rsidRPr="008B6216" w:rsidRDefault="00AA7367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AA7367" w:rsidRPr="008B6216" w:rsidRDefault="00AA7367" w:rsidP="00B852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1 229,1</w:t>
            </w:r>
          </w:p>
        </w:tc>
        <w:tc>
          <w:tcPr>
            <w:tcW w:w="992" w:type="dxa"/>
          </w:tcPr>
          <w:p w:rsidR="00AA7367" w:rsidRPr="008B6216" w:rsidRDefault="00AA7367" w:rsidP="0014721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260,</w:t>
            </w:r>
            <w:r w:rsidR="0014721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268,2</w:t>
            </w:r>
          </w:p>
        </w:tc>
        <w:tc>
          <w:tcPr>
            <w:tcW w:w="992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240,0</w:t>
            </w:r>
          </w:p>
        </w:tc>
        <w:tc>
          <w:tcPr>
            <w:tcW w:w="993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996" w:type="dxa"/>
          </w:tcPr>
          <w:p w:rsidR="00AA7367" w:rsidRPr="008B6216" w:rsidRDefault="00AA7367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230,0</w:t>
            </w:r>
          </w:p>
        </w:tc>
        <w:tc>
          <w:tcPr>
            <w:tcW w:w="2269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AA7367" w:rsidRPr="008B6216" w:rsidRDefault="00AA7367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8B6216" w:rsidTr="0069304B">
        <w:tc>
          <w:tcPr>
            <w:tcW w:w="563" w:type="dxa"/>
            <w:vMerge w:val="restart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1767" w:type="dxa"/>
            <w:vMerge w:val="restart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01.13</w:t>
            </w:r>
          </w:p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67" w:type="dxa"/>
            <w:vMerge w:val="restart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  <w:vMerge w:val="restart"/>
          </w:tcPr>
          <w:p w:rsidR="00EE0D92" w:rsidRPr="00533BE9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33BE9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8B6216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 w:val="restart"/>
          </w:tcPr>
          <w:p w:rsidR="0069304B" w:rsidRPr="008B6216" w:rsidRDefault="0069304B" w:rsidP="00C6131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>противодействия коррупции в границах городского округа</w:t>
            </w:r>
          </w:p>
        </w:tc>
      </w:tr>
      <w:tr w:rsidR="0069304B" w:rsidRPr="008B6216" w:rsidTr="0069304B">
        <w:tc>
          <w:tcPr>
            <w:tcW w:w="563" w:type="dxa"/>
            <w:vMerge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15" w:type="dxa"/>
            <w:gridSpan w:val="6"/>
            <w:vMerge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  <w:vMerge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304B" w:rsidRPr="008B6216" w:rsidTr="002C6FCF">
        <w:tc>
          <w:tcPr>
            <w:tcW w:w="563" w:type="dxa"/>
          </w:tcPr>
          <w:p w:rsidR="0069304B" w:rsidRPr="008B6216" w:rsidRDefault="0069304B" w:rsidP="004E5A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1767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01.14</w:t>
            </w:r>
          </w:p>
          <w:p w:rsidR="0069304B" w:rsidRPr="008B6216" w:rsidRDefault="0069304B" w:rsidP="0036612D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67" w:type="dxa"/>
          </w:tcPr>
          <w:p w:rsidR="0069304B" w:rsidRPr="008B6216" w:rsidRDefault="0069304B" w:rsidP="003661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3661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15" w:type="dxa"/>
            <w:gridSpan w:val="6"/>
          </w:tcPr>
          <w:p w:rsidR="00EE0D92" w:rsidRPr="00533BE9" w:rsidRDefault="00EE0D92" w:rsidP="00EE0D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0"/>
                <w:szCs w:val="20"/>
              </w:rPr>
            </w:pPr>
            <w:r w:rsidRPr="00533BE9">
              <w:rPr>
                <w:rFonts w:cs="Times New Roman"/>
                <w:iCs/>
                <w:sz w:val="20"/>
                <w:szCs w:val="20"/>
              </w:rPr>
              <w:t>В пределах средств, выделенных на обеспечение деятельности</w:t>
            </w:r>
          </w:p>
          <w:p w:rsidR="0069304B" w:rsidRPr="008B6216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9" w:type="dxa"/>
          </w:tcPr>
          <w:p w:rsidR="0069304B" w:rsidRPr="008B6216" w:rsidRDefault="0069304B" w:rsidP="004E5A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</w:tcPr>
          <w:p w:rsidR="0069304B" w:rsidRPr="008B6216" w:rsidRDefault="0069304B" w:rsidP="002C6FC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Обеспечение </w:t>
            </w:r>
            <w:r w:rsidRPr="008B6216">
              <w:rPr>
                <w:rFonts w:ascii="Times New Roman" w:hAnsi="Times New Roman" w:cs="Times New Roman"/>
                <w:iCs/>
                <w:sz w:val="20"/>
              </w:rPr>
              <w:t>принятия устава муниципального образования и внесение в него изменений и дополнений, издание муниципальных правовых актов</w:t>
            </w:r>
          </w:p>
        </w:tc>
      </w:tr>
      <w:tr w:rsidR="0069304B" w:rsidRPr="008B6216" w:rsidTr="0069304B">
        <w:tc>
          <w:tcPr>
            <w:tcW w:w="563" w:type="dxa"/>
            <w:vMerge w:val="restart"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1767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Мероприятие 01.15</w:t>
            </w:r>
          </w:p>
          <w:p w:rsidR="0069304B" w:rsidRPr="008B6216" w:rsidRDefault="0069304B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Организация сбора статистических показателей</w:t>
            </w:r>
          </w:p>
        </w:tc>
        <w:tc>
          <w:tcPr>
            <w:tcW w:w="1267" w:type="dxa"/>
            <w:vMerge w:val="restart"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2020-2024</w:t>
            </w:r>
          </w:p>
        </w:tc>
        <w:tc>
          <w:tcPr>
            <w:tcW w:w="1710" w:type="dxa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8B6216" w:rsidRDefault="0069304B" w:rsidP="00093CA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Администрация городского округа Электросталь</w:t>
            </w:r>
          </w:p>
        </w:tc>
        <w:tc>
          <w:tcPr>
            <w:tcW w:w="1702" w:type="dxa"/>
            <w:vMerge w:val="restart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Обеспечение финансирования организации сбора статистических показателей</w:t>
            </w:r>
          </w:p>
        </w:tc>
      </w:tr>
      <w:tr w:rsidR="0069304B" w:rsidRPr="008B6216" w:rsidTr="0069304B">
        <w:tc>
          <w:tcPr>
            <w:tcW w:w="563" w:type="dxa"/>
            <w:vMerge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69304B" w:rsidRPr="008B6216" w:rsidRDefault="0069304B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69304B" w:rsidRPr="008B6216" w:rsidRDefault="0069304B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6" w:type="dxa"/>
          </w:tcPr>
          <w:p w:rsidR="0069304B" w:rsidRPr="008B6216" w:rsidRDefault="0069304B" w:rsidP="00090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9" w:type="dxa"/>
            <w:vMerge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</w:tcPr>
          <w:p w:rsidR="0069304B" w:rsidRPr="008B6216" w:rsidRDefault="0069304B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06855" w:rsidRPr="008B6216" w:rsidTr="0069304B">
        <w:tc>
          <w:tcPr>
            <w:tcW w:w="563" w:type="dxa"/>
            <w:vMerge w:val="restart"/>
          </w:tcPr>
          <w:p w:rsidR="00C06855" w:rsidRPr="008B6216" w:rsidRDefault="00C06855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 w:val="restart"/>
          </w:tcPr>
          <w:p w:rsidR="00C06855" w:rsidRPr="008B6216" w:rsidRDefault="00C06855" w:rsidP="00093CA5">
            <w:pPr>
              <w:rPr>
                <w:rFonts w:cs="Times New Roman"/>
                <w:sz w:val="20"/>
                <w:szCs w:val="20"/>
              </w:rPr>
            </w:pPr>
            <w:r w:rsidRPr="008B6216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267" w:type="dxa"/>
            <w:vMerge w:val="restart"/>
          </w:tcPr>
          <w:p w:rsidR="00C06855" w:rsidRPr="008B6216" w:rsidRDefault="00C06855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6855" w:rsidRPr="008B6216" w:rsidRDefault="00C0685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50" w:type="dxa"/>
          </w:tcPr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1</w:t>
            </w:r>
            <w:r w:rsidR="00202604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="00202604">
              <w:rPr>
                <w:rFonts w:ascii="Times New Roman" w:hAnsi="Times New Roman" w:cs="Times New Roman"/>
                <w:sz w:val="20"/>
              </w:rPr>
              <w:t>45 067,6</w:t>
            </w:r>
          </w:p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06855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347 030,1</w:t>
            </w:r>
          </w:p>
        </w:tc>
        <w:tc>
          <w:tcPr>
            <w:tcW w:w="992" w:type="dxa"/>
          </w:tcPr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348 314,4</w:t>
            </w:r>
          </w:p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06855" w:rsidRPr="00EB08EE" w:rsidRDefault="00C06855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10 520,3</w:t>
            </w:r>
          </w:p>
        </w:tc>
        <w:tc>
          <w:tcPr>
            <w:tcW w:w="993" w:type="dxa"/>
          </w:tcPr>
          <w:p w:rsidR="00C06855" w:rsidRPr="008B6216" w:rsidRDefault="00C06855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C06855" w:rsidRPr="008B6216" w:rsidRDefault="00C06855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3971" w:type="dxa"/>
            <w:gridSpan w:val="2"/>
            <w:vMerge w:val="restart"/>
          </w:tcPr>
          <w:p w:rsidR="00C06855" w:rsidRPr="008B6216" w:rsidRDefault="00C06855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02604" w:rsidRPr="008B6216" w:rsidTr="0069304B">
        <w:tc>
          <w:tcPr>
            <w:tcW w:w="563" w:type="dxa"/>
            <w:vMerge/>
          </w:tcPr>
          <w:p w:rsidR="00202604" w:rsidRPr="008B6216" w:rsidRDefault="00202604" w:rsidP="00093CA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67" w:type="dxa"/>
            <w:vMerge/>
          </w:tcPr>
          <w:p w:rsidR="00202604" w:rsidRPr="008B6216" w:rsidRDefault="00202604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7" w:type="dxa"/>
            <w:vMerge/>
          </w:tcPr>
          <w:p w:rsidR="00202604" w:rsidRPr="008B6216" w:rsidRDefault="00202604" w:rsidP="00093CA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202604" w:rsidRPr="008B6216" w:rsidRDefault="0020260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6216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B6216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1350" w:type="dxa"/>
          </w:tcPr>
          <w:p w:rsidR="00202604" w:rsidRPr="00EB08EE" w:rsidRDefault="00202604" w:rsidP="00CD1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</w:rPr>
              <w:t> 645 067,6</w:t>
            </w:r>
          </w:p>
          <w:p w:rsidR="00202604" w:rsidRPr="00EB08EE" w:rsidRDefault="00202604" w:rsidP="00CD1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02604" w:rsidRPr="00EB08EE" w:rsidRDefault="00202604" w:rsidP="00CD11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347 030,1</w:t>
            </w:r>
          </w:p>
        </w:tc>
        <w:tc>
          <w:tcPr>
            <w:tcW w:w="992" w:type="dxa"/>
          </w:tcPr>
          <w:p w:rsidR="00202604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348 314,4</w:t>
            </w:r>
          </w:p>
          <w:p w:rsidR="00202604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02604" w:rsidRPr="00EB08EE" w:rsidRDefault="00202604" w:rsidP="00D94C2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B08EE">
              <w:rPr>
                <w:rFonts w:ascii="Times New Roman" w:hAnsi="Times New Roman" w:cs="Times New Roman"/>
                <w:sz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0"/>
              </w:rPr>
              <w:t>10 520,3</w:t>
            </w:r>
          </w:p>
        </w:tc>
        <w:tc>
          <w:tcPr>
            <w:tcW w:w="993" w:type="dxa"/>
          </w:tcPr>
          <w:p w:rsidR="00202604" w:rsidRPr="008B6216" w:rsidRDefault="00202604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996" w:type="dxa"/>
          </w:tcPr>
          <w:p w:rsidR="00202604" w:rsidRPr="008B6216" w:rsidRDefault="00202604" w:rsidP="00D94C25">
            <w:pPr>
              <w:jc w:val="center"/>
              <w:rPr>
                <w:sz w:val="20"/>
                <w:szCs w:val="20"/>
              </w:rPr>
            </w:pPr>
            <w:r w:rsidRPr="008B6216">
              <w:rPr>
                <w:sz w:val="20"/>
                <w:szCs w:val="20"/>
              </w:rPr>
              <w:t>319 601,4</w:t>
            </w:r>
          </w:p>
        </w:tc>
        <w:tc>
          <w:tcPr>
            <w:tcW w:w="3971" w:type="dxa"/>
            <w:gridSpan w:val="2"/>
            <w:vMerge/>
          </w:tcPr>
          <w:p w:rsidR="00202604" w:rsidRPr="008B6216" w:rsidRDefault="00202604" w:rsidP="00093CA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E55C3" w:rsidRDefault="00EE55C3" w:rsidP="00941B22">
      <w:pPr>
        <w:ind w:right="25"/>
        <w:jc w:val="right"/>
      </w:pPr>
      <w:r w:rsidRPr="008B6216">
        <w:t>».</w:t>
      </w:r>
    </w:p>
    <w:sectPr w:rsidR="00EE55C3" w:rsidSect="00122EED">
      <w:headerReference w:type="default" r:id="rId17"/>
      <w:pgSz w:w="16838" w:h="11906" w:orient="landscape"/>
      <w:pgMar w:top="1701" w:right="568" w:bottom="851" w:left="794" w:header="1134" w:footer="11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8A5" w:rsidRDefault="00F328A5" w:rsidP="00AD249F">
      <w:r>
        <w:separator/>
      </w:r>
    </w:p>
  </w:endnote>
  <w:endnote w:type="continuationSeparator" w:id="0">
    <w:p w:rsidR="00F328A5" w:rsidRDefault="00F328A5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8A5" w:rsidRDefault="00F328A5" w:rsidP="00AD249F">
      <w:r>
        <w:separator/>
      </w:r>
    </w:p>
  </w:footnote>
  <w:footnote w:type="continuationSeparator" w:id="0">
    <w:p w:rsidR="00F328A5" w:rsidRDefault="00F328A5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0164"/>
      <w:docPartObj>
        <w:docPartGallery w:val="Page Numbers (Top of Page)"/>
        <w:docPartUnique/>
      </w:docPartObj>
    </w:sdtPr>
    <w:sdtEndPr/>
    <w:sdtContent>
      <w:p w:rsidR="00FE7C4B" w:rsidRDefault="003954B0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4E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7C4B" w:rsidRDefault="00FE7C4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C4B" w:rsidRDefault="003954B0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94EA1">
      <w:rPr>
        <w:noProof/>
      </w:rPr>
      <w:t>21</w:t>
    </w:r>
    <w:r>
      <w:rPr>
        <w:noProof/>
      </w:rPr>
      <w:fldChar w:fldCharType="end"/>
    </w:r>
  </w:p>
  <w:p w:rsidR="00FE7C4B" w:rsidRDefault="00FE7C4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4FC81E0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F2778E0"/>
    <w:multiLevelType w:val="hybridMultilevel"/>
    <w:tmpl w:val="A784E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EF9"/>
    <w:multiLevelType w:val="hybridMultilevel"/>
    <w:tmpl w:val="9900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262FC"/>
    <w:multiLevelType w:val="multilevel"/>
    <w:tmpl w:val="573A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16480"/>
    <w:multiLevelType w:val="hybridMultilevel"/>
    <w:tmpl w:val="F3A8259C"/>
    <w:lvl w:ilvl="0" w:tplc="0419000F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D650536"/>
    <w:multiLevelType w:val="hybridMultilevel"/>
    <w:tmpl w:val="47EA5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A0AA3"/>
    <w:multiLevelType w:val="hybridMultilevel"/>
    <w:tmpl w:val="B79AF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6250EA"/>
    <w:multiLevelType w:val="hybridMultilevel"/>
    <w:tmpl w:val="73725B48"/>
    <w:lvl w:ilvl="0" w:tplc="52E46A5A">
      <w:start w:val="1"/>
      <w:numFmt w:val="decimal"/>
      <w:lvlText w:val="%1."/>
      <w:lvlJc w:val="left"/>
      <w:pPr>
        <w:ind w:left="5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57" w:hanging="360"/>
      </w:pPr>
    </w:lvl>
    <w:lvl w:ilvl="2" w:tplc="0419001B" w:tentative="1">
      <w:start w:val="1"/>
      <w:numFmt w:val="lowerRoman"/>
      <w:lvlText w:val="%3."/>
      <w:lvlJc w:val="right"/>
      <w:pPr>
        <w:ind w:left="6877" w:hanging="180"/>
      </w:pPr>
    </w:lvl>
    <w:lvl w:ilvl="3" w:tplc="0419000F" w:tentative="1">
      <w:start w:val="1"/>
      <w:numFmt w:val="decimal"/>
      <w:lvlText w:val="%4."/>
      <w:lvlJc w:val="left"/>
      <w:pPr>
        <w:ind w:left="7597" w:hanging="360"/>
      </w:pPr>
    </w:lvl>
    <w:lvl w:ilvl="4" w:tplc="04190019" w:tentative="1">
      <w:start w:val="1"/>
      <w:numFmt w:val="lowerLetter"/>
      <w:lvlText w:val="%5."/>
      <w:lvlJc w:val="left"/>
      <w:pPr>
        <w:ind w:left="8317" w:hanging="360"/>
      </w:pPr>
    </w:lvl>
    <w:lvl w:ilvl="5" w:tplc="0419001B" w:tentative="1">
      <w:start w:val="1"/>
      <w:numFmt w:val="lowerRoman"/>
      <w:lvlText w:val="%6."/>
      <w:lvlJc w:val="right"/>
      <w:pPr>
        <w:ind w:left="9037" w:hanging="180"/>
      </w:pPr>
    </w:lvl>
    <w:lvl w:ilvl="6" w:tplc="0419000F" w:tentative="1">
      <w:start w:val="1"/>
      <w:numFmt w:val="decimal"/>
      <w:lvlText w:val="%7."/>
      <w:lvlJc w:val="left"/>
      <w:pPr>
        <w:ind w:left="9757" w:hanging="360"/>
      </w:pPr>
    </w:lvl>
    <w:lvl w:ilvl="7" w:tplc="04190019" w:tentative="1">
      <w:start w:val="1"/>
      <w:numFmt w:val="lowerLetter"/>
      <w:lvlText w:val="%8."/>
      <w:lvlJc w:val="left"/>
      <w:pPr>
        <w:ind w:left="10477" w:hanging="360"/>
      </w:pPr>
    </w:lvl>
    <w:lvl w:ilvl="8" w:tplc="0419001B" w:tentative="1">
      <w:start w:val="1"/>
      <w:numFmt w:val="lowerRoman"/>
      <w:lvlText w:val="%9."/>
      <w:lvlJc w:val="right"/>
      <w:pPr>
        <w:ind w:left="11197" w:hanging="180"/>
      </w:pPr>
    </w:lvl>
  </w:abstractNum>
  <w:abstractNum w:abstractNumId="10" w15:restartNumberingAfterBreak="0">
    <w:nsid w:val="4DB566D9"/>
    <w:multiLevelType w:val="hybridMultilevel"/>
    <w:tmpl w:val="8A5691F8"/>
    <w:lvl w:ilvl="0" w:tplc="72ACA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F727E"/>
    <w:multiLevelType w:val="hybridMultilevel"/>
    <w:tmpl w:val="72C6B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69A08CB"/>
    <w:multiLevelType w:val="hybridMultilevel"/>
    <w:tmpl w:val="1AE051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8306E"/>
    <w:multiLevelType w:val="multilevel"/>
    <w:tmpl w:val="6E4A70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5" w15:restartNumberingAfterBreak="0">
    <w:nsid w:val="670322F7"/>
    <w:multiLevelType w:val="hybridMultilevel"/>
    <w:tmpl w:val="CC56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C23F53"/>
    <w:multiLevelType w:val="hybridMultilevel"/>
    <w:tmpl w:val="2E3045FE"/>
    <w:lvl w:ilvl="0" w:tplc="185AB898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2"/>
    <w:lvlOverride w:ilvl="0">
      <w:startOverride w:val="1"/>
    </w:lvlOverride>
  </w:num>
  <w:num w:numId="10">
    <w:abstractNumId w:val="16"/>
  </w:num>
  <w:num w:numId="11">
    <w:abstractNumId w:val="7"/>
  </w:num>
  <w:num w:numId="12">
    <w:abstractNumId w:val="4"/>
  </w:num>
  <w:num w:numId="13">
    <w:abstractNumId w:val="12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2233"/>
    <w:rsid w:val="00002704"/>
    <w:rsid w:val="0000341C"/>
    <w:rsid w:val="000113E2"/>
    <w:rsid w:val="000149C6"/>
    <w:rsid w:val="00017E56"/>
    <w:rsid w:val="000227C1"/>
    <w:rsid w:val="000236F4"/>
    <w:rsid w:val="00024985"/>
    <w:rsid w:val="00025F56"/>
    <w:rsid w:val="00026D8F"/>
    <w:rsid w:val="00031363"/>
    <w:rsid w:val="0003212D"/>
    <w:rsid w:val="0003406D"/>
    <w:rsid w:val="00035259"/>
    <w:rsid w:val="000361A6"/>
    <w:rsid w:val="00044409"/>
    <w:rsid w:val="00050C7C"/>
    <w:rsid w:val="000616FE"/>
    <w:rsid w:val="0006782E"/>
    <w:rsid w:val="00067B44"/>
    <w:rsid w:val="000702E7"/>
    <w:rsid w:val="00073E14"/>
    <w:rsid w:val="000743A5"/>
    <w:rsid w:val="0007581E"/>
    <w:rsid w:val="0007765D"/>
    <w:rsid w:val="000828CB"/>
    <w:rsid w:val="000841CE"/>
    <w:rsid w:val="000858AF"/>
    <w:rsid w:val="0008634A"/>
    <w:rsid w:val="0008715E"/>
    <w:rsid w:val="00087B69"/>
    <w:rsid w:val="00090FF6"/>
    <w:rsid w:val="000933CA"/>
    <w:rsid w:val="00093CA5"/>
    <w:rsid w:val="00094FA1"/>
    <w:rsid w:val="00095FAD"/>
    <w:rsid w:val="0009786A"/>
    <w:rsid w:val="000A1880"/>
    <w:rsid w:val="000A1C32"/>
    <w:rsid w:val="000A48E0"/>
    <w:rsid w:val="000A50F9"/>
    <w:rsid w:val="000A51B7"/>
    <w:rsid w:val="000A77F5"/>
    <w:rsid w:val="000B1B16"/>
    <w:rsid w:val="000B56B5"/>
    <w:rsid w:val="000B6166"/>
    <w:rsid w:val="000B71CA"/>
    <w:rsid w:val="000C3E2E"/>
    <w:rsid w:val="000C5801"/>
    <w:rsid w:val="000C5900"/>
    <w:rsid w:val="000C6CBE"/>
    <w:rsid w:val="000C728C"/>
    <w:rsid w:val="000C752E"/>
    <w:rsid w:val="000E0A04"/>
    <w:rsid w:val="000E21E7"/>
    <w:rsid w:val="000E6403"/>
    <w:rsid w:val="000E6D43"/>
    <w:rsid w:val="000F14A1"/>
    <w:rsid w:val="000F4FA3"/>
    <w:rsid w:val="000F5E7D"/>
    <w:rsid w:val="000F7282"/>
    <w:rsid w:val="0010066D"/>
    <w:rsid w:val="00103CE3"/>
    <w:rsid w:val="00105B1B"/>
    <w:rsid w:val="001065DC"/>
    <w:rsid w:val="00111E1D"/>
    <w:rsid w:val="00112933"/>
    <w:rsid w:val="00117867"/>
    <w:rsid w:val="0012012D"/>
    <w:rsid w:val="00122EED"/>
    <w:rsid w:val="00123022"/>
    <w:rsid w:val="0012410F"/>
    <w:rsid w:val="00124577"/>
    <w:rsid w:val="001248C6"/>
    <w:rsid w:val="00126E97"/>
    <w:rsid w:val="00127C6D"/>
    <w:rsid w:val="001306CD"/>
    <w:rsid w:val="0013198E"/>
    <w:rsid w:val="00131B24"/>
    <w:rsid w:val="00131FC7"/>
    <w:rsid w:val="001337B5"/>
    <w:rsid w:val="00133D1B"/>
    <w:rsid w:val="0013425C"/>
    <w:rsid w:val="00135D18"/>
    <w:rsid w:val="0013717A"/>
    <w:rsid w:val="001401EA"/>
    <w:rsid w:val="00145720"/>
    <w:rsid w:val="00147214"/>
    <w:rsid w:val="0015099E"/>
    <w:rsid w:val="00151940"/>
    <w:rsid w:val="00153EC3"/>
    <w:rsid w:val="0015639A"/>
    <w:rsid w:val="00161AB7"/>
    <w:rsid w:val="0017056A"/>
    <w:rsid w:val="00171381"/>
    <w:rsid w:val="001718AD"/>
    <w:rsid w:val="001734CA"/>
    <w:rsid w:val="0017418A"/>
    <w:rsid w:val="001752B2"/>
    <w:rsid w:val="00175499"/>
    <w:rsid w:val="0017697C"/>
    <w:rsid w:val="00190680"/>
    <w:rsid w:val="00190C05"/>
    <w:rsid w:val="001920D7"/>
    <w:rsid w:val="00194692"/>
    <w:rsid w:val="00197357"/>
    <w:rsid w:val="001A01EE"/>
    <w:rsid w:val="001A2D04"/>
    <w:rsid w:val="001A4564"/>
    <w:rsid w:val="001A49B3"/>
    <w:rsid w:val="001A5823"/>
    <w:rsid w:val="001A7C65"/>
    <w:rsid w:val="001B49E9"/>
    <w:rsid w:val="001B5E68"/>
    <w:rsid w:val="001C2EF3"/>
    <w:rsid w:val="001C3FF2"/>
    <w:rsid w:val="001C6A72"/>
    <w:rsid w:val="001C6CD0"/>
    <w:rsid w:val="001D5754"/>
    <w:rsid w:val="001D57E6"/>
    <w:rsid w:val="001D5B65"/>
    <w:rsid w:val="001E4151"/>
    <w:rsid w:val="001E6D61"/>
    <w:rsid w:val="001F1908"/>
    <w:rsid w:val="001F2274"/>
    <w:rsid w:val="001F697C"/>
    <w:rsid w:val="00201D4A"/>
    <w:rsid w:val="00201D63"/>
    <w:rsid w:val="00202604"/>
    <w:rsid w:val="00202C40"/>
    <w:rsid w:val="00204C84"/>
    <w:rsid w:val="00206633"/>
    <w:rsid w:val="00207034"/>
    <w:rsid w:val="00210EBD"/>
    <w:rsid w:val="00212D18"/>
    <w:rsid w:val="00226372"/>
    <w:rsid w:val="002372CA"/>
    <w:rsid w:val="00240F35"/>
    <w:rsid w:val="00244BC1"/>
    <w:rsid w:val="00245BF1"/>
    <w:rsid w:val="00245E01"/>
    <w:rsid w:val="0024608B"/>
    <w:rsid w:val="00246632"/>
    <w:rsid w:val="00246774"/>
    <w:rsid w:val="00246EB4"/>
    <w:rsid w:val="00247856"/>
    <w:rsid w:val="002507D4"/>
    <w:rsid w:val="002518B4"/>
    <w:rsid w:val="00251AC0"/>
    <w:rsid w:val="00251CCB"/>
    <w:rsid w:val="00253513"/>
    <w:rsid w:val="00255A2F"/>
    <w:rsid w:val="00257A06"/>
    <w:rsid w:val="0026106F"/>
    <w:rsid w:val="00261CD1"/>
    <w:rsid w:val="00265840"/>
    <w:rsid w:val="002701AE"/>
    <w:rsid w:val="00272883"/>
    <w:rsid w:val="00273625"/>
    <w:rsid w:val="00280F84"/>
    <w:rsid w:val="00287887"/>
    <w:rsid w:val="002939BA"/>
    <w:rsid w:val="00295E44"/>
    <w:rsid w:val="002A32EB"/>
    <w:rsid w:val="002A3EAE"/>
    <w:rsid w:val="002B1B42"/>
    <w:rsid w:val="002B3567"/>
    <w:rsid w:val="002B7A21"/>
    <w:rsid w:val="002C2ABF"/>
    <w:rsid w:val="002C4874"/>
    <w:rsid w:val="002C64CE"/>
    <w:rsid w:val="002C6B86"/>
    <w:rsid w:val="002C6FCF"/>
    <w:rsid w:val="002D2DE5"/>
    <w:rsid w:val="002D3041"/>
    <w:rsid w:val="002D5A61"/>
    <w:rsid w:val="002E0BC7"/>
    <w:rsid w:val="002E333A"/>
    <w:rsid w:val="002E796F"/>
    <w:rsid w:val="002F6155"/>
    <w:rsid w:val="002F7874"/>
    <w:rsid w:val="003039E8"/>
    <w:rsid w:val="0031083F"/>
    <w:rsid w:val="0031596E"/>
    <w:rsid w:val="00315B10"/>
    <w:rsid w:val="00320A74"/>
    <w:rsid w:val="00326946"/>
    <w:rsid w:val="00326E2E"/>
    <w:rsid w:val="003308D6"/>
    <w:rsid w:val="00331094"/>
    <w:rsid w:val="00340EEB"/>
    <w:rsid w:val="00341334"/>
    <w:rsid w:val="003416B8"/>
    <w:rsid w:val="0034661D"/>
    <w:rsid w:val="00346703"/>
    <w:rsid w:val="00347276"/>
    <w:rsid w:val="003512FD"/>
    <w:rsid w:val="00351453"/>
    <w:rsid w:val="00351845"/>
    <w:rsid w:val="00355D8F"/>
    <w:rsid w:val="00356FD7"/>
    <w:rsid w:val="003655FD"/>
    <w:rsid w:val="0036612D"/>
    <w:rsid w:val="00367C27"/>
    <w:rsid w:val="00372B5C"/>
    <w:rsid w:val="00372F9E"/>
    <w:rsid w:val="00373CA7"/>
    <w:rsid w:val="00375765"/>
    <w:rsid w:val="003807FD"/>
    <w:rsid w:val="003810C0"/>
    <w:rsid w:val="003827F6"/>
    <w:rsid w:val="00382B6D"/>
    <w:rsid w:val="00383251"/>
    <w:rsid w:val="00383CF9"/>
    <w:rsid w:val="00384FC7"/>
    <w:rsid w:val="00385EDE"/>
    <w:rsid w:val="003954B0"/>
    <w:rsid w:val="003A0346"/>
    <w:rsid w:val="003A0B0A"/>
    <w:rsid w:val="003A0DA8"/>
    <w:rsid w:val="003A19CB"/>
    <w:rsid w:val="003A1E45"/>
    <w:rsid w:val="003A2B97"/>
    <w:rsid w:val="003A588F"/>
    <w:rsid w:val="003A699B"/>
    <w:rsid w:val="003B103F"/>
    <w:rsid w:val="003B4285"/>
    <w:rsid w:val="003B4B3D"/>
    <w:rsid w:val="003B6483"/>
    <w:rsid w:val="003B6584"/>
    <w:rsid w:val="003B6633"/>
    <w:rsid w:val="003C22F6"/>
    <w:rsid w:val="003C5096"/>
    <w:rsid w:val="003D1A4F"/>
    <w:rsid w:val="003D244D"/>
    <w:rsid w:val="003D6A52"/>
    <w:rsid w:val="003D70D2"/>
    <w:rsid w:val="003D7A41"/>
    <w:rsid w:val="003E066C"/>
    <w:rsid w:val="003F31D4"/>
    <w:rsid w:val="003F3A64"/>
    <w:rsid w:val="003F3E60"/>
    <w:rsid w:val="003F4BEB"/>
    <w:rsid w:val="003F52E0"/>
    <w:rsid w:val="003F690E"/>
    <w:rsid w:val="0040075C"/>
    <w:rsid w:val="00403261"/>
    <w:rsid w:val="004041E3"/>
    <w:rsid w:val="00406A72"/>
    <w:rsid w:val="0041015C"/>
    <w:rsid w:val="0041026B"/>
    <w:rsid w:val="00412BDB"/>
    <w:rsid w:val="0042377F"/>
    <w:rsid w:val="0042422A"/>
    <w:rsid w:val="004274DB"/>
    <w:rsid w:val="00433689"/>
    <w:rsid w:val="00435701"/>
    <w:rsid w:val="00440B9F"/>
    <w:rsid w:val="00440DF0"/>
    <w:rsid w:val="00440E0C"/>
    <w:rsid w:val="00444827"/>
    <w:rsid w:val="004458B4"/>
    <w:rsid w:val="00451C70"/>
    <w:rsid w:val="00452F30"/>
    <w:rsid w:val="00456025"/>
    <w:rsid w:val="00461F36"/>
    <w:rsid w:val="00462B32"/>
    <w:rsid w:val="004630C5"/>
    <w:rsid w:val="00463D95"/>
    <w:rsid w:val="00464B9D"/>
    <w:rsid w:val="00465F54"/>
    <w:rsid w:val="00467507"/>
    <w:rsid w:val="004742DD"/>
    <w:rsid w:val="00474875"/>
    <w:rsid w:val="00474EF3"/>
    <w:rsid w:val="004806E1"/>
    <w:rsid w:val="00480CE3"/>
    <w:rsid w:val="00483B8A"/>
    <w:rsid w:val="00484169"/>
    <w:rsid w:val="00485501"/>
    <w:rsid w:val="004867F3"/>
    <w:rsid w:val="00487E76"/>
    <w:rsid w:val="00490ABA"/>
    <w:rsid w:val="00491C93"/>
    <w:rsid w:val="00491D93"/>
    <w:rsid w:val="004954C1"/>
    <w:rsid w:val="004959FC"/>
    <w:rsid w:val="00496C64"/>
    <w:rsid w:val="004B2642"/>
    <w:rsid w:val="004B2CAF"/>
    <w:rsid w:val="004C0E0E"/>
    <w:rsid w:val="004C458E"/>
    <w:rsid w:val="004C66D2"/>
    <w:rsid w:val="004D0F49"/>
    <w:rsid w:val="004D3D2C"/>
    <w:rsid w:val="004D64AC"/>
    <w:rsid w:val="004D7673"/>
    <w:rsid w:val="004E1A42"/>
    <w:rsid w:val="004E5A4B"/>
    <w:rsid w:val="004E7396"/>
    <w:rsid w:val="004F0A1A"/>
    <w:rsid w:val="004F1750"/>
    <w:rsid w:val="00500385"/>
    <w:rsid w:val="00504369"/>
    <w:rsid w:val="005049C2"/>
    <w:rsid w:val="005059C7"/>
    <w:rsid w:val="00506F99"/>
    <w:rsid w:val="00507C8A"/>
    <w:rsid w:val="0051220A"/>
    <w:rsid w:val="00512F47"/>
    <w:rsid w:val="0051318F"/>
    <w:rsid w:val="00515EC2"/>
    <w:rsid w:val="00517579"/>
    <w:rsid w:val="005207CA"/>
    <w:rsid w:val="005226BD"/>
    <w:rsid w:val="005226D2"/>
    <w:rsid w:val="005270DD"/>
    <w:rsid w:val="00527FE1"/>
    <w:rsid w:val="00530048"/>
    <w:rsid w:val="00530517"/>
    <w:rsid w:val="005318BB"/>
    <w:rsid w:val="005338F5"/>
    <w:rsid w:val="00533BE9"/>
    <w:rsid w:val="00534DF7"/>
    <w:rsid w:val="00536188"/>
    <w:rsid w:val="005371D1"/>
    <w:rsid w:val="00537661"/>
    <w:rsid w:val="0054018B"/>
    <w:rsid w:val="00541F5F"/>
    <w:rsid w:val="00543148"/>
    <w:rsid w:val="00553B71"/>
    <w:rsid w:val="00555363"/>
    <w:rsid w:val="00556BA3"/>
    <w:rsid w:val="00557037"/>
    <w:rsid w:val="00557139"/>
    <w:rsid w:val="00560A5F"/>
    <w:rsid w:val="0056114F"/>
    <w:rsid w:val="005614EC"/>
    <w:rsid w:val="00564281"/>
    <w:rsid w:val="005744D7"/>
    <w:rsid w:val="005759A2"/>
    <w:rsid w:val="00576C99"/>
    <w:rsid w:val="0058294C"/>
    <w:rsid w:val="005855F0"/>
    <w:rsid w:val="00591EC3"/>
    <w:rsid w:val="00595038"/>
    <w:rsid w:val="00596932"/>
    <w:rsid w:val="00597D41"/>
    <w:rsid w:val="005A0357"/>
    <w:rsid w:val="005B0538"/>
    <w:rsid w:val="005B53B6"/>
    <w:rsid w:val="005B5B19"/>
    <w:rsid w:val="005C1A22"/>
    <w:rsid w:val="005C233B"/>
    <w:rsid w:val="005C6201"/>
    <w:rsid w:val="005C6EAB"/>
    <w:rsid w:val="005C7DE0"/>
    <w:rsid w:val="005D24EE"/>
    <w:rsid w:val="005D6969"/>
    <w:rsid w:val="005D785A"/>
    <w:rsid w:val="005D7911"/>
    <w:rsid w:val="005E30FE"/>
    <w:rsid w:val="005E75CE"/>
    <w:rsid w:val="005F6F12"/>
    <w:rsid w:val="00601B37"/>
    <w:rsid w:val="00601EE1"/>
    <w:rsid w:val="00604D22"/>
    <w:rsid w:val="00610D6E"/>
    <w:rsid w:val="00611605"/>
    <w:rsid w:val="00612CEB"/>
    <w:rsid w:val="0061464E"/>
    <w:rsid w:val="0062464F"/>
    <w:rsid w:val="006268BE"/>
    <w:rsid w:val="00641B82"/>
    <w:rsid w:val="006421F9"/>
    <w:rsid w:val="00651257"/>
    <w:rsid w:val="00651777"/>
    <w:rsid w:val="0065419E"/>
    <w:rsid w:val="00654D06"/>
    <w:rsid w:val="00657C8A"/>
    <w:rsid w:val="00657E82"/>
    <w:rsid w:val="0066078D"/>
    <w:rsid w:val="006637D6"/>
    <w:rsid w:val="0066429E"/>
    <w:rsid w:val="00670C08"/>
    <w:rsid w:val="00674734"/>
    <w:rsid w:val="0067765C"/>
    <w:rsid w:val="006777FC"/>
    <w:rsid w:val="00683E9E"/>
    <w:rsid w:val="006847B7"/>
    <w:rsid w:val="0069304B"/>
    <w:rsid w:val="006A045E"/>
    <w:rsid w:val="006A1EA9"/>
    <w:rsid w:val="006A32AF"/>
    <w:rsid w:val="006A6E9F"/>
    <w:rsid w:val="006B5509"/>
    <w:rsid w:val="006C06A4"/>
    <w:rsid w:val="006C2F60"/>
    <w:rsid w:val="006C3D43"/>
    <w:rsid w:val="006D3D82"/>
    <w:rsid w:val="006D68FE"/>
    <w:rsid w:val="006E0D57"/>
    <w:rsid w:val="006E4FDD"/>
    <w:rsid w:val="006E7097"/>
    <w:rsid w:val="006F7653"/>
    <w:rsid w:val="006F7B9A"/>
    <w:rsid w:val="007008D9"/>
    <w:rsid w:val="00705212"/>
    <w:rsid w:val="00712E4F"/>
    <w:rsid w:val="0071398C"/>
    <w:rsid w:val="00714780"/>
    <w:rsid w:val="00715913"/>
    <w:rsid w:val="0071613C"/>
    <w:rsid w:val="00721609"/>
    <w:rsid w:val="0072220D"/>
    <w:rsid w:val="00723FE1"/>
    <w:rsid w:val="007255E4"/>
    <w:rsid w:val="007257E8"/>
    <w:rsid w:val="0073090C"/>
    <w:rsid w:val="00730B3F"/>
    <w:rsid w:val="00732B7E"/>
    <w:rsid w:val="00733153"/>
    <w:rsid w:val="0073401F"/>
    <w:rsid w:val="007402CE"/>
    <w:rsid w:val="007463BB"/>
    <w:rsid w:val="00764889"/>
    <w:rsid w:val="00765175"/>
    <w:rsid w:val="007653D0"/>
    <w:rsid w:val="00765817"/>
    <w:rsid w:val="00770635"/>
    <w:rsid w:val="00773462"/>
    <w:rsid w:val="0077596D"/>
    <w:rsid w:val="007763FA"/>
    <w:rsid w:val="00784765"/>
    <w:rsid w:val="00784AB6"/>
    <w:rsid w:val="00790806"/>
    <w:rsid w:val="00795363"/>
    <w:rsid w:val="007A0792"/>
    <w:rsid w:val="007A1B9C"/>
    <w:rsid w:val="007A345C"/>
    <w:rsid w:val="007A3BB5"/>
    <w:rsid w:val="007A50FC"/>
    <w:rsid w:val="007A6318"/>
    <w:rsid w:val="007B1792"/>
    <w:rsid w:val="007B1FCE"/>
    <w:rsid w:val="007B26A8"/>
    <w:rsid w:val="007B75ED"/>
    <w:rsid w:val="007C1FEB"/>
    <w:rsid w:val="007C2959"/>
    <w:rsid w:val="007C3EA6"/>
    <w:rsid w:val="007C69C5"/>
    <w:rsid w:val="007D1A4E"/>
    <w:rsid w:val="007D50FD"/>
    <w:rsid w:val="007E0DDC"/>
    <w:rsid w:val="007E42C1"/>
    <w:rsid w:val="007E4970"/>
    <w:rsid w:val="007F41C6"/>
    <w:rsid w:val="007F4412"/>
    <w:rsid w:val="007F58A0"/>
    <w:rsid w:val="007F698B"/>
    <w:rsid w:val="007F75C1"/>
    <w:rsid w:val="00803F39"/>
    <w:rsid w:val="00807208"/>
    <w:rsid w:val="00812B83"/>
    <w:rsid w:val="00813BF6"/>
    <w:rsid w:val="00822F9B"/>
    <w:rsid w:val="0083117A"/>
    <w:rsid w:val="00832B96"/>
    <w:rsid w:val="00836B7B"/>
    <w:rsid w:val="008424E5"/>
    <w:rsid w:val="00845208"/>
    <w:rsid w:val="0085091A"/>
    <w:rsid w:val="00851F57"/>
    <w:rsid w:val="00856160"/>
    <w:rsid w:val="00857F97"/>
    <w:rsid w:val="008627DC"/>
    <w:rsid w:val="0086777A"/>
    <w:rsid w:val="00872F22"/>
    <w:rsid w:val="0087371A"/>
    <w:rsid w:val="00873B46"/>
    <w:rsid w:val="00877592"/>
    <w:rsid w:val="008808E0"/>
    <w:rsid w:val="00884A2E"/>
    <w:rsid w:val="00886BDA"/>
    <w:rsid w:val="00887108"/>
    <w:rsid w:val="00887712"/>
    <w:rsid w:val="008913F4"/>
    <w:rsid w:val="00894EA1"/>
    <w:rsid w:val="008965C2"/>
    <w:rsid w:val="00897EC4"/>
    <w:rsid w:val="008A0D4F"/>
    <w:rsid w:val="008A3D90"/>
    <w:rsid w:val="008A64E4"/>
    <w:rsid w:val="008A75DD"/>
    <w:rsid w:val="008B6216"/>
    <w:rsid w:val="008B62E9"/>
    <w:rsid w:val="008B6618"/>
    <w:rsid w:val="008C3B04"/>
    <w:rsid w:val="008C5FEF"/>
    <w:rsid w:val="008C601C"/>
    <w:rsid w:val="008C6D5F"/>
    <w:rsid w:val="008D02D4"/>
    <w:rsid w:val="008D4ED3"/>
    <w:rsid w:val="008E032C"/>
    <w:rsid w:val="008E0977"/>
    <w:rsid w:val="008E2300"/>
    <w:rsid w:val="008E4C8C"/>
    <w:rsid w:val="008F33E7"/>
    <w:rsid w:val="008F424E"/>
    <w:rsid w:val="008F4ABD"/>
    <w:rsid w:val="009007C8"/>
    <w:rsid w:val="00902F5C"/>
    <w:rsid w:val="0090423C"/>
    <w:rsid w:val="00904F7F"/>
    <w:rsid w:val="00931221"/>
    <w:rsid w:val="0093123F"/>
    <w:rsid w:val="00941B22"/>
    <w:rsid w:val="0094272F"/>
    <w:rsid w:val="0094491A"/>
    <w:rsid w:val="00945360"/>
    <w:rsid w:val="00950EA3"/>
    <w:rsid w:val="00956EAD"/>
    <w:rsid w:val="00960C24"/>
    <w:rsid w:val="009611B6"/>
    <w:rsid w:val="00962755"/>
    <w:rsid w:val="00962AA2"/>
    <w:rsid w:val="00967813"/>
    <w:rsid w:val="00972748"/>
    <w:rsid w:val="00974BB8"/>
    <w:rsid w:val="009761CB"/>
    <w:rsid w:val="00976A76"/>
    <w:rsid w:val="009803BB"/>
    <w:rsid w:val="00983C7C"/>
    <w:rsid w:val="00986C9C"/>
    <w:rsid w:val="00991276"/>
    <w:rsid w:val="00992FAB"/>
    <w:rsid w:val="009948A4"/>
    <w:rsid w:val="00995113"/>
    <w:rsid w:val="00995AA8"/>
    <w:rsid w:val="00995AFA"/>
    <w:rsid w:val="009A0E61"/>
    <w:rsid w:val="009A19A1"/>
    <w:rsid w:val="009A4995"/>
    <w:rsid w:val="009A5F24"/>
    <w:rsid w:val="009A6EBE"/>
    <w:rsid w:val="009C008A"/>
    <w:rsid w:val="009C2383"/>
    <w:rsid w:val="009C4F65"/>
    <w:rsid w:val="009D0AD8"/>
    <w:rsid w:val="009D2A03"/>
    <w:rsid w:val="009D304D"/>
    <w:rsid w:val="009D3642"/>
    <w:rsid w:val="009D3928"/>
    <w:rsid w:val="009E04B9"/>
    <w:rsid w:val="009E4221"/>
    <w:rsid w:val="009F2EC8"/>
    <w:rsid w:val="009F2FF1"/>
    <w:rsid w:val="009F7454"/>
    <w:rsid w:val="009F7EB5"/>
    <w:rsid w:val="00A0276A"/>
    <w:rsid w:val="00A0544C"/>
    <w:rsid w:val="00A11A9F"/>
    <w:rsid w:val="00A13D48"/>
    <w:rsid w:val="00A14A27"/>
    <w:rsid w:val="00A14CEE"/>
    <w:rsid w:val="00A155C5"/>
    <w:rsid w:val="00A15B8D"/>
    <w:rsid w:val="00A216A3"/>
    <w:rsid w:val="00A2173D"/>
    <w:rsid w:val="00A22291"/>
    <w:rsid w:val="00A23169"/>
    <w:rsid w:val="00A23FA9"/>
    <w:rsid w:val="00A26869"/>
    <w:rsid w:val="00A2742E"/>
    <w:rsid w:val="00A3366C"/>
    <w:rsid w:val="00A3538A"/>
    <w:rsid w:val="00A36E67"/>
    <w:rsid w:val="00A37D17"/>
    <w:rsid w:val="00A46210"/>
    <w:rsid w:val="00A50CD5"/>
    <w:rsid w:val="00A53807"/>
    <w:rsid w:val="00A55501"/>
    <w:rsid w:val="00A572A3"/>
    <w:rsid w:val="00A6209D"/>
    <w:rsid w:val="00A62B47"/>
    <w:rsid w:val="00A64972"/>
    <w:rsid w:val="00A70C2B"/>
    <w:rsid w:val="00A7699A"/>
    <w:rsid w:val="00A8176C"/>
    <w:rsid w:val="00A81CDF"/>
    <w:rsid w:val="00A85150"/>
    <w:rsid w:val="00A87260"/>
    <w:rsid w:val="00A93B30"/>
    <w:rsid w:val="00A970E5"/>
    <w:rsid w:val="00AA1047"/>
    <w:rsid w:val="00AA1879"/>
    <w:rsid w:val="00AA2C4B"/>
    <w:rsid w:val="00AA46A4"/>
    <w:rsid w:val="00AA5B53"/>
    <w:rsid w:val="00AA6B26"/>
    <w:rsid w:val="00AA7367"/>
    <w:rsid w:val="00AB75F9"/>
    <w:rsid w:val="00AC0A48"/>
    <w:rsid w:val="00AC0B60"/>
    <w:rsid w:val="00AC0FA2"/>
    <w:rsid w:val="00AC1B32"/>
    <w:rsid w:val="00AC492A"/>
    <w:rsid w:val="00AC4A9E"/>
    <w:rsid w:val="00AC4C04"/>
    <w:rsid w:val="00AC536A"/>
    <w:rsid w:val="00AC60D3"/>
    <w:rsid w:val="00AC6115"/>
    <w:rsid w:val="00AC6935"/>
    <w:rsid w:val="00AC6B1A"/>
    <w:rsid w:val="00AC7673"/>
    <w:rsid w:val="00AD249F"/>
    <w:rsid w:val="00AD3A72"/>
    <w:rsid w:val="00AD5B48"/>
    <w:rsid w:val="00AE0811"/>
    <w:rsid w:val="00AE22EA"/>
    <w:rsid w:val="00AE2B3F"/>
    <w:rsid w:val="00AE60E1"/>
    <w:rsid w:val="00AF1041"/>
    <w:rsid w:val="00AF42E1"/>
    <w:rsid w:val="00AF6A99"/>
    <w:rsid w:val="00B0656C"/>
    <w:rsid w:val="00B10505"/>
    <w:rsid w:val="00B1104B"/>
    <w:rsid w:val="00B11316"/>
    <w:rsid w:val="00B11E70"/>
    <w:rsid w:val="00B160AB"/>
    <w:rsid w:val="00B20FE5"/>
    <w:rsid w:val="00B21052"/>
    <w:rsid w:val="00B21C6E"/>
    <w:rsid w:val="00B22ADD"/>
    <w:rsid w:val="00B233F7"/>
    <w:rsid w:val="00B31EA2"/>
    <w:rsid w:val="00B32D76"/>
    <w:rsid w:val="00B34562"/>
    <w:rsid w:val="00B34908"/>
    <w:rsid w:val="00B354B9"/>
    <w:rsid w:val="00B361D5"/>
    <w:rsid w:val="00B37A26"/>
    <w:rsid w:val="00B42584"/>
    <w:rsid w:val="00B47F24"/>
    <w:rsid w:val="00B518E8"/>
    <w:rsid w:val="00B55096"/>
    <w:rsid w:val="00B5568B"/>
    <w:rsid w:val="00B556CD"/>
    <w:rsid w:val="00B60957"/>
    <w:rsid w:val="00B6206B"/>
    <w:rsid w:val="00B63EB4"/>
    <w:rsid w:val="00B66F52"/>
    <w:rsid w:val="00B71BB4"/>
    <w:rsid w:val="00B71FA0"/>
    <w:rsid w:val="00B75C77"/>
    <w:rsid w:val="00B817B8"/>
    <w:rsid w:val="00B827D8"/>
    <w:rsid w:val="00B85280"/>
    <w:rsid w:val="00B867A7"/>
    <w:rsid w:val="00B925A4"/>
    <w:rsid w:val="00B94306"/>
    <w:rsid w:val="00B977BA"/>
    <w:rsid w:val="00BA150D"/>
    <w:rsid w:val="00BA3BAC"/>
    <w:rsid w:val="00BA61E6"/>
    <w:rsid w:val="00BB5F0F"/>
    <w:rsid w:val="00BB75FA"/>
    <w:rsid w:val="00BC7A25"/>
    <w:rsid w:val="00BD6572"/>
    <w:rsid w:val="00BD66E7"/>
    <w:rsid w:val="00BE5B11"/>
    <w:rsid w:val="00BE743F"/>
    <w:rsid w:val="00BF45C2"/>
    <w:rsid w:val="00BF53A5"/>
    <w:rsid w:val="00BF6853"/>
    <w:rsid w:val="00C0050C"/>
    <w:rsid w:val="00C00C03"/>
    <w:rsid w:val="00C06855"/>
    <w:rsid w:val="00C078D9"/>
    <w:rsid w:val="00C13BF3"/>
    <w:rsid w:val="00C14BB0"/>
    <w:rsid w:val="00C15259"/>
    <w:rsid w:val="00C16719"/>
    <w:rsid w:val="00C16BDD"/>
    <w:rsid w:val="00C22C4B"/>
    <w:rsid w:val="00C25E23"/>
    <w:rsid w:val="00C3012A"/>
    <w:rsid w:val="00C3416F"/>
    <w:rsid w:val="00C343F3"/>
    <w:rsid w:val="00C367FF"/>
    <w:rsid w:val="00C44F4A"/>
    <w:rsid w:val="00C46BAD"/>
    <w:rsid w:val="00C476F0"/>
    <w:rsid w:val="00C51B03"/>
    <w:rsid w:val="00C51C8A"/>
    <w:rsid w:val="00C52DC9"/>
    <w:rsid w:val="00C54DD5"/>
    <w:rsid w:val="00C5605D"/>
    <w:rsid w:val="00C56C41"/>
    <w:rsid w:val="00C611B2"/>
    <w:rsid w:val="00C6131A"/>
    <w:rsid w:val="00C64C4B"/>
    <w:rsid w:val="00C67B84"/>
    <w:rsid w:val="00C734C8"/>
    <w:rsid w:val="00C80212"/>
    <w:rsid w:val="00C84CC1"/>
    <w:rsid w:val="00C86F5F"/>
    <w:rsid w:val="00C91A13"/>
    <w:rsid w:val="00C96425"/>
    <w:rsid w:val="00CA1A73"/>
    <w:rsid w:val="00CA1CC0"/>
    <w:rsid w:val="00CA1D97"/>
    <w:rsid w:val="00CA3D53"/>
    <w:rsid w:val="00CA4E71"/>
    <w:rsid w:val="00CA7A50"/>
    <w:rsid w:val="00CA7B9D"/>
    <w:rsid w:val="00CB0470"/>
    <w:rsid w:val="00CB0965"/>
    <w:rsid w:val="00CB1D05"/>
    <w:rsid w:val="00CB3EDB"/>
    <w:rsid w:val="00CB6789"/>
    <w:rsid w:val="00CC0C07"/>
    <w:rsid w:val="00CC112F"/>
    <w:rsid w:val="00CD0529"/>
    <w:rsid w:val="00CD43F6"/>
    <w:rsid w:val="00CE0816"/>
    <w:rsid w:val="00CE17B1"/>
    <w:rsid w:val="00CF1421"/>
    <w:rsid w:val="00CF26CC"/>
    <w:rsid w:val="00CF29CC"/>
    <w:rsid w:val="00CF483D"/>
    <w:rsid w:val="00D05F63"/>
    <w:rsid w:val="00D21852"/>
    <w:rsid w:val="00D231EB"/>
    <w:rsid w:val="00D3062D"/>
    <w:rsid w:val="00D3577D"/>
    <w:rsid w:val="00D416B9"/>
    <w:rsid w:val="00D42407"/>
    <w:rsid w:val="00D51B89"/>
    <w:rsid w:val="00D53FA8"/>
    <w:rsid w:val="00D55440"/>
    <w:rsid w:val="00D61F9F"/>
    <w:rsid w:val="00D75638"/>
    <w:rsid w:val="00D77246"/>
    <w:rsid w:val="00D77DC1"/>
    <w:rsid w:val="00D835E5"/>
    <w:rsid w:val="00D857A4"/>
    <w:rsid w:val="00D86EEA"/>
    <w:rsid w:val="00D90A66"/>
    <w:rsid w:val="00D94149"/>
    <w:rsid w:val="00D94C25"/>
    <w:rsid w:val="00D95693"/>
    <w:rsid w:val="00D95E06"/>
    <w:rsid w:val="00D9769E"/>
    <w:rsid w:val="00DA0872"/>
    <w:rsid w:val="00DA3242"/>
    <w:rsid w:val="00DA5AD6"/>
    <w:rsid w:val="00DA7C7F"/>
    <w:rsid w:val="00DB1855"/>
    <w:rsid w:val="00DB248E"/>
    <w:rsid w:val="00DB3488"/>
    <w:rsid w:val="00DB4D96"/>
    <w:rsid w:val="00DC3FAA"/>
    <w:rsid w:val="00DD094A"/>
    <w:rsid w:val="00DE172F"/>
    <w:rsid w:val="00DE31C1"/>
    <w:rsid w:val="00DF1291"/>
    <w:rsid w:val="00DF131A"/>
    <w:rsid w:val="00DF383C"/>
    <w:rsid w:val="00DF3D0A"/>
    <w:rsid w:val="00DF5613"/>
    <w:rsid w:val="00E01D95"/>
    <w:rsid w:val="00E055EF"/>
    <w:rsid w:val="00E06694"/>
    <w:rsid w:val="00E15966"/>
    <w:rsid w:val="00E17A28"/>
    <w:rsid w:val="00E17F26"/>
    <w:rsid w:val="00E22BB9"/>
    <w:rsid w:val="00E27A42"/>
    <w:rsid w:val="00E319C8"/>
    <w:rsid w:val="00E34157"/>
    <w:rsid w:val="00E44B26"/>
    <w:rsid w:val="00E459F4"/>
    <w:rsid w:val="00E45E7F"/>
    <w:rsid w:val="00E47BD8"/>
    <w:rsid w:val="00E501AA"/>
    <w:rsid w:val="00E51AF6"/>
    <w:rsid w:val="00E5260C"/>
    <w:rsid w:val="00E529BC"/>
    <w:rsid w:val="00E53F30"/>
    <w:rsid w:val="00E544EF"/>
    <w:rsid w:val="00E60264"/>
    <w:rsid w:val="00E611AC"/>
    <w:rsid w:val="00E6513C"/>
    <w:rsid w:val="00E65534"/>
    <w:rsid w:val="00E65AF2"/>
    <w:rsid w:val="00E71BC6"/>
    <w:rsid w:val="00E801C8"/>
    <w:rsid w:val="00E865B3"/>
    <w:rsid w:val="00E91DB1"/>
    <w:rsid w:val="00E9249E"/>
    <w:rsid w:val="00E94CC5"/>
    <w:rsid w:val="00E95731"/>
    <w:rsid w:val="00EA036C"/>
    <w:rsid w:val="00EA4695"/>
    <w:rsid w:val="00EA4A14"/>
    <w:rsid w:val="00EA4CD2"/>
    <w:rsid w:val="00EA4DFF"/>
    <w:rsid w:val="00EA522D"/>
    <w:rsid w:val="00EA5606"/>
    <w:rsid w:val="00EA6CC9"/>
    <w:rsid w:val="00EA7DD3"/>
    <w:rsid w:val="00EB08EE"/>
    <w:rsid w:val="00EB20BB"/>
    <w:rsid w:val="00EB2CDF"/>
    <w:rsid w:val="00EB3757"/>
    <w:rsid w:val="00EB3DFA"/>
    <w:rsid w:val="00EB4068"/>
    <w:rsid w:val="00EB6DE6"/>
    <w:rsid w:val="00EC600C"/>
    <w:rsid w:val="00EC7EC7"/>
    <w:rsid w:val="00ED5207"/>
    <w:rsid w:val="00EE0D92"/>
    <w:rsid w:val="00EE0FE9"/>
    <w:rsid w:val="00EE1801"/>
    <w:rsid w:val="00EE55C3"/>
    <w:rsid w:val="00EF610A"/>
    <w:rsid w:val="00F03C11"/>
    <w:rsid w:val="00F10DD8"/>
    <w:rsid w:val="00F11C2B"/>
    <w:rsid w:val="00F146F5"/>
    <w:rsid w:val="00F14F5E"/>
    <w:rsid w:val="00F15F25"/>
    <w:rsid w:val="00F21423"/>
    <w:rsid w:val="00F228E0"/>
    <w:rsid w:val="00F2393F"/>
    <w:rsid w:val="00F242F2"/>
    <w:rsid w:val="00F26E54"/>
    <w:rsid w:val="00F312C0"/>
    <w:rsid w:val="00F315B4"/>
    <w:rsid w:val="00F328A5"/>
    <w:rsid w:val="00F329F8"/>
    <w:rsid w:val="00F4209F"/>
    <w:rsid w:val="00F468D2"/>
    <w:rsid w:val="00F53B1F"/>
    <w:rsid w:val="00F53F68"/>
    <w:rsid w:val="00F56BEE"/>
    <w:rsid w:val="00F56F9B"/>
    <w:rsid w:val="00F57272"/>
    <w:rsid w:val="00F60D7C"/>
    <w:rsid w:val="00F6222F"/>
    <w:rsid w:val="00F64577"/>
    <w:rsid w:val="00F74015"/>
    <w:rsid w:val="00F761E0"/>
    <w:rsid w:val="00F81C86"/>
    <w:rsid w:val="00F82643"/>
    <w:rsid w:val="00F85946"/>
    <w:rsid w:val="00F86068"/>
    <w:rsid w:val="00F86BA4"/>
    <w:rsid w:val="00F911DE"/>
    <w:rsid w:val="00F919F4"/>
    <w:rsid w:val="00F92F98"/>
    <w:rsid w:val="00F96BDE"/>
    <w:rsid w:val="00FB6045"/>
    <w:rsid w:val="00FC1C14"/>
    <w:rsid w:val="00FC520F"/>
    <w:rsid w:val="00FC62B4"/>
    <w:rsid w:val="00FC795D"/>
    <w:rsid w:val="00FD1A32"/>
    <w:rsid w:val="00FD22F9"/>
    <w:rsid w:val="00FD661D"/>
    <w:rsid w:val="00FE07BA"/>
    <w:rsid w:val="00FE2B72"/>
    <w:rsid w:val="00FE35F6"/>
    <w:rsid w:val="00FE6F6E"/>
    <w:rsid w:val="00FE7C4B"/>
    <w:rsid w:val="00FF0167"/>
    <w:rsid w:val="00FF351E"/>
    <w:rsid w:val="00FF4546"/>
    <w:rsid w:val="00FF58A6"/>
    <w:rsid w:val="00FF6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7B9CD7-112A-4472-97E0-ABF8C6EF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F57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851F57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F57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851F57"/>
    <w:pPr>
      <w:ind w:firstLine="720"/>
      <w:jc w:val="both"/>
    </w:pPr>
  </w:style>
  <w:style w:type="paragraph" w:styleId="2">
    <w:name w:val="Body Text Indent 2"/>
    <w:basedOn w:val="a"/>
    <w:rsid w:val="00851F57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856160"/>
    <w:pPr>
      <w:ind w:left="720"/>
      <w:contextualSpacing/>
    </w:pPr>
  </w:style>
  <w:style w:type="paragraph" w:styleId="af">
    <w:name w:val="annotation text"/>
    <w:basedOn w:val="a"/>
    <w:link w:val="af0"/>
    <w:uiPriority w:val="99"/>
    <w:unhideWhenUsed/>
    <w:rsid w:val="00B66F52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B66F52"/>
    <w:rPr>
      <w:rFonts w:cs="Arial"/>
    </w:rPr>
  </w:style>
  <w:style w:type="paragraph" w:customStyle="1" w:styleId="ConsPlusNormal">
    <w:name w:val="ConsPlusNormal"/>
    <w:link w:val="ConsPlusNormal0"/>
    <w:qFormat/>
    <w:rsid w:val="00AC0B6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C0B60"/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AC0B60"/>
    <w:rPr>
      <w:sz w:val="24"/>
    </w:rPr>
  </w:style>
  <w:style w:type="paragraph" w:customStyle="1" w:styleId="s16">
    <w:name w:val="s_16"/>
    <w:basedOn w:val="a"/>
    <w:rsid w:val="00AC0B60"/>
    <w:pPr>
      <w:spacing w:before="100" w:beforeAutospacing="1" w:after="100" w:afterAutospacing="1"/>
    </w:pPr>
    <w:rPr>
      <w:rFonts w:cs="Times New Roman"/>
    </w:rPr>
  </w:style>
  <w:style w:type="paragraph" w:customStyle="1" w:styleId="ConsPlusTitle">
    <w:name w:val="ConsPlusTitle"/>
    <w:rsid w:val="00AC0B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C0B6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No Spacing"/>
    <w:link w:val="af2"/>
    <w:uiPriority w:val="1"/>
    <w:qFormat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AC0B60"/>
    <w:rPr>
      <w:rFonts w:ascii="Times New Roman" w:hAnsi="Times New Roman" w:cs="Times New Roman"/>
      <w:sz w:val="26"/>
      <w:szCs w:val="26"/>
    </w:rPr>
  </w:style>
  <w:style w:type="character" w:customStyle="1" w:styleId="af2">
    <w:name w:val="Без интервала Знак"/>
    <w:link w:val="af1"/>
    <w:uiPriority w:val="1"/>
    <w:locked/>
    <w:rsid w:val="00AC0B60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AC0B60"/>
    <w:rPr>
      <w:rFonts w:ascii="Arial" w:hAnsi="Arial"/>
      <w:sz w:val="24"/>
    </w:rPr>
  </w:style>
  <w:style w:type="paragraph" w:customStyle="1" w:styleId="af3">
    <w:name w:val="_Текст"/>
    <w:basedOn w:val="a"/>
    <w:rsid w:val="00E529BC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17D89D6223B4E12CD9CFD381330820BB7F42C427DFFE09A7D3BDCB01B3A77805C5E976CBBE6D2049E9711E7C22B07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17D89D6223B4E12CD9CFC360630820BB6FD2C497FFBE09A7D3BDCB01B3A77805C5E976CBBE6D2049E9711E7C22B07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7D89D6223B4E12CD9CFD381330820BB7F42F4C7CFAE09A7D3BDCB01B3A77805C5E976CBBE6D2049E9711E7C22B07G" TargetMode="External"/><Relationship Id="rId10" Type="http://schemas.openxmlformats.org/officeDocument/2006/relationships/hyperlink" Target="http://www.electrosta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hyperlink" Target="consultantplus://offline/ref=917D89D6223B4E12CD9CFD381330820BB7F628487CFCE09A7D3BDCB01B3A77805C5E976CBBE6D2049E9711E7C22B0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CFC06-D2A1-4A5F-8744-E2341308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16046</Words>
  <Characters>91467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107299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2021-05-26T12:18:00Z</cp:lastPrinted>
  <dcterms:created xsi:type="dcterms:W3CDTF">2021-05-26T12:40:00Z</dcterms:created>
  <dcterms:modified xsi:type="dcterms:W3CDTF">2021-05-31T14:38:00Z</dcterms:modified>
</cp:coreProperties>
</file>