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AF5125" w:rsidRDefault="00191E54" w:rsidP="00AF5125">
      <w:pPr>
        <w:ind w:right="-1"/>
        <w:jc w:val="center"/>
        <w:rPr>
          <w:sz w:val="28"/>
          <w:szCs w:val="28"/>
        </w:rPr>
      </w:pPr>
      <w:r w:rsidRPr="00AF5125">
        <w:rPr>
          <w:noProof/>
          <w:sz w:val="28"/>
          <w:szCs w:val="28"/>
        </w:rPr>
        <w:drawing>
          <wp:inline distT="0" distB="0" distL="0" distR="0" wp14:anchorId="1A6DAE0A" wp14:editId="7CBA78EA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AF5125" w:rsidRDefault="00191E54" w:rsidP="00AF5125">
      <w:pPr>
        <w:ind w:right="-1"/>
        <w:jc w:val="center"/>
        <w:rPr>
          <w:sz w:val="28"/>
          <w:szCs w:val="28"/>
        </w:rPr>
      </w:pPr>
    </w:p>
    <w:p w:rsidR="00191E54" w:rsidRPr="00AF5125" w:rsidRDefault="00AF5125" w:rsidP="00AF51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91E54" w:rsidRPr="00AF5125">
        <w:rPr>
          <w:sz w:val="28"/>
          <w:szCs w:val="28"/>
        </w:rPr>
        <w:t xml:space="preserve"> ГОРОДСКОГО ОКРУГА ЭЛЕКТРОСТАЛЬ</w:t>
      </w:r>
    </w:p>
    <w:p w:rsidR="00191E54" w:rsidRPr="00AF5125" w:rsidRDefault="00191E54" w:rsidP="00AF5125">
      <w:pPr>
        <w:ind w:right="-1"/>
        <w:jc w:val="center"/>
        <w:rPr>
          <w:sz w:val="28"/>
          <w:szCs w:val="28"/>
        </w:rPr>
      </w:pPr>
    </w:p>
    <w:p w:rsidR="00191E54" w:rsidRPr="00AF5125" w:rsidRDefault="00AF5125" w:rsidP="00AF51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AF5125">
        <w:rPr>
          <w:sz w:val="28"/>
          <w:szCs w:val="28"/>
        </w:rPr>
        <w:t>ОБЛАСТИ</w:t>
      </w:r>
    </w:p>
    <w:p w:rsidR="00191E54" w:rsidRPr="00AF5125" w:rsidRDefault="00191E54" w:rsidP="00AF5125">
      <w:pPr>
        <w:ind w:right="-1"/>
        <w:jc w:val="center"/>
        <w:rPr>
          <w:sz w:val="28"/>
          <w:szCs w:val="28"/>
        </w:rPr>
      </w:pPr>
    </w:p>
    <w:p w:rsidR="00191E54" w:rsidRPr="00AF5125" w:rsidRDefault="00191E54" w:rsidP="00AF5125">
      <w:pPr>
        <w:ind w:right="-1"/>
        <w:jc w:val="center"/>
        <w:rPr>
          <w:sz w:val="44"/>
          <w:szCs w:val="44"/>
        </w:rPr>
      </w:pPr>
      <w:bookmarkStart w:id="0" w:name="_GoBack"/>
      <w:r w:rsidRPr="00AF5125">
        <w:rPr>
          <w:sz w:val="44"/>
          <w:szCs w:val="44"/>
        </w:rPr>
        <w:t>ПОСТАНОВЛЕНИЕ</w:t>
      </w:r>
    </w:p>
    <w:p w:rsidR="00191E54" w:rsidRPr="00AF5125" w:rsidRDefault="00191E54" w:rsidP="00AF5125">
      <w:pPr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8E33C8" w:rsidP="00AF5125">
      <w:pPr>
        <w:ind w:right="-1"/>
        <w:jc w:val="center"/>
        <w:outlineLvl w:val="0"/>
      </w:pPr>
      <w:r w:rsidRPr="00AF5125">
        <w:t>07.10.2022</w:t>
      </w:r>
      <w:r w:rsidR="00191E54" w:rsidRPr="00AF5125">
        <w:t xml:space="preserve"> </w:t>
      </w:r>
      <w:r w:rsidR="00191E54" w:rsidRPr="00537687">
        <w:t xml:space="preserve">№ </w:t>
      </w:r>
      <w:r w:rsidRPr="00AF5125">
        <w:t>1151/10</w:t>
      </w:r>
    </w:p>
    <w:p w:rsidR="00191E54" w:rsidRPr="00B4173D" w:rsidRDefault="00191E54" w:rsidP="00191E54">
      <w:pPr>
        <w:outlineLvl w:val="0"/>
      </w:pPr>
    </w:p>
    <w:p w:rsidR="00191E54" w:rsidRPr="00262307" w:rsidRDefault="00191E54" w:rsidP="00AF5125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AF5125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AF5125">
      <w:pPr>
        <w:jc w:val="both"/>
        <w:rPr>
          <w:sz w:val="26"/>
          <w:szCs w:val="26"/>
        </w:rPr>
      </w:pPr>
    </w:p>
    <w:p w:rsidR="00AF5125" w:rsidRDefault="00AF5125" w:rsidP="00AF5125">
      <w:pPr>
        <w:jc w:val="both"/>
        <w:rPr>
          <w:sz w:val="26"/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Default="00191E54" w:rsidP="009A70E3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BA09CB" w:rsidRDefault="00BA09CB" w:rsidP="009A70E3">
      <w:pPr>
        <w:tabs>
          <w:tab w:val="center" w:pos="4677"/>
        </w:tabs>
        <w:ind w:firstLine="709"/>
        <w:jc w:val="both"/>
      </w:pPr>
    </w:p>
    <w:p w:rsidR="00E83546" w:rsidRDefault="00E83546" w:rsidP="009A70E3">
      <w:pPr>
        <w:tabs>
          <w:tab w:val="center" w:pos="4677"/>
        </w:tabs>
        <w:ind w:firstLine="709"/>
        <w:jc w:val="both"/>
      </w:pPr>
    </w:p>
    <w:p w:rsidR="00AF5125" w:rsidRDefault="00AF5125" w:rsidP="009A70E3">
      <w:pPr>
        <w:tabs>
          <w:tab w:val="center" w:pos="4677"/>
        </w:tabs>
        <w:ind w:firstLine="709"/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AF5125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8E33C8" w:rsidRPr="00AF5125">
        <w:t>07.10.2022</w:t>
      </w:r>
      <w:r w:rsidR="00AF5125">
        <w:t xml:space="preserve"> </w:t>
      </w:r>
      <w:r w:rsidRPr="00984A7F">
        <w:t>№</w:t>
      </w:r>
      <w:r w:rsidR="00AF5125">
        <w:t xml:space="preserve"> </w:t>
      </w:r>
      <w:r w:rsidR="008E33C8" w:rsidRPr="00AF5125">
        <w:t>1151/10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 xml:space="preserve">от </w:t>
      </w:r>
      <w:r w:rsidRPr="00AF5125">
        <w:t>13.12.2019</w:t>
      </w:r>
      <w:r w:rsidRPr="00984A7F">
        <w:t xml:space="preserve"> № </w:t>
      </w:r>
      <w:r w:rsidRPr="00AF5125">
        <w:t>950/12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="00AF5125">
        <w:rPr>
          <w:bCs/>
        </w:rPr>
        <w:t xml:space="preserve">в редакции постановлений </w:t>
      </w:r>
      <w:r>
        <w:rPr>
          <w:bCs/>
        </w:rPr>
        <w:t xml:space="preserve">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AF5125">
        <w:rPr>
          <w:bCs/>
          <w:color w:val="000000" w:themeColor="text1"/>
        </w:rPr>
        <w:t xml:space="preserve">, </w:t>
      </w:r>
      <w:r w:rsidR="003D440F">
        <w:rPr>
          <w:bCs/>
          <w:color w:val="000000" w:themeColor="text1"/>
        </w:rPr>
        <w:t>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993"/>
        <w:gridCol w:w="992"/>
        <w:gridCol w:w="992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lastRenderedPageBreak/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A10AE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927BC" w:rsidRPr="00F42CBC" w:rsidRDefault="00D73C11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1 300 656,1</w:t>
            </w:r>
          </w:p>
        </w:tc>
        <w:tc>
          <w:tcPr>
            <w:tcW w:w="993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92" w:type="dxa"/>
          </w:tcPr>
          <w:p w:rsidR="00840C02" w:rsidRDefault="007B1BB4" w:rsidP="00840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  <w:r w:rsidR="00840C02" w:rsidRPr="006A01F3">
              <w:rPr>
                <w:rFonts w:ascii="Times New Roman" w:hAnsi="Times New Roman" w:cs="Times New Roman"/>
                <w:sz w:val="20"/>
              </w:rPr>
              <w:t>627,7</w:t>
            </w:r>
          </w:p>
          <w:p w:rsidR="00840C02" w:rsidRPr="0005095C" w:rsidRDefault="00840C02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67B78" w:rsidRDefault="00A47E13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  <w:p w:rsidR="00D73C11" w:rsidRPr="00362A0A" w:rsidRDefault="00D73C11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  <w:p w:rsidR="00D73C11" w:rsidRPr="006A10AE" w:rsidRDefault="00D73C1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417" w:type="dxa"/>
          </w:tcPr>
          <w:p w:rsidR="00511189" w:rsidRPr="0005095C" w:rsidRDefault="00D73C11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  <w:highlight w:val="yellow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3C11">
              <w:rPr>
                <w:rFonts w:ascii="Times New Roman" w:hAnsi="Times New Roman" w:cs="Times New Roman"/>
                <w:sz w:val="20"/>
              </w:rPr>
              <w:t>302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3C11">
              <w:rPr>
                <w:rFonts w:ascii="Times New Roman" w:hAnsi="Times New Roman" w:cs="Times New Roman"/>
                <w:sz w:val="20"/>
              </w:rPr>
              <w:t>850,8</w:t>
            </w:r>
          </w:p>
        </w:tc>
        <w:tc>
          <w:tcPr>
            <w:tcW w:w="993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92" w:type="dxa"/>
          </w:tcPr>
          <w:p w:rsidR="00840C02" w:rsidRDefault="00511189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  <w:r w:rsidR="00840C02" w:rsidRPr="006A01F3">
              <w:rPr>
                <w:rFonts w:ascii="Times New Roman" w:hAnsi="Times New Roman" w:cs="Times New Roman"/>
                <w:sz w:val="20"/>
              </w:rPr>
              <w:t>627,7</w:t>
            </w:r>
          </w:p>
          <w:p w:rsidR="0005095C" w:rsidRPr="00252DA7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</w:t>
      </w:r>
      <w:r w:rsidRPr="006A6E5D">
        <w:rPr>
          <w:rFonts w:cs="Times New Roman"/>
        </w:rPr>
        <w:lastRenderedPageBreak/>
        <w:t xml:space="preserve">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</w:t>
      </w:r>
      <w:r w:rsidRPr="006A6E5D">
        <w:rPr>
          <w:rFonts w:cs="Times New Roman"/>
        </w:rPr>
        <w:lastRenderedPageBreak/>
        <w:t>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BD4190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BD4190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BD4190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BD4190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 xml:space="preserve">направлена на обеспечение подготовки спортивного резерва для спортивных сборных команд Московской области и Российской Федерации, развития </w:t>
      </w:r>
      <w:r w:rsidR="00BF6B2A" w:rsidRPr="00BF6B2A">
        <w:rPr>
          <w:rFonts w:eastAsiaTheme="minorHAnsi"/>
        </w:rPr>
        <w:lastRenderedPageBreak/>
        <w:t>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BD4190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AF5125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67,27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DF2D3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DF2D31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Чзт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Днвн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Макропоказатель  -Доступные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B06CF1" w:rsidRPr="00190217" w:rsidRDefault="002830A1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color w:val="000000"/>
                <w:sz w:val="20"/>
              </w:rPr>
              <w:t>514 893,9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474706" w:rsidRPr="002830A1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830A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color w:val="000000"/>
                <w:sz w:val="20"/>
              </w:rPr>
              <w:t>514 893,9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474706" w:rsidRPr="002830A1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830A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474706" w:rsidRPr="00D11737" w:rsidRDefault="00474706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6D39A0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D39A0" w:rsidRPr="00AE7C71" w:rsidRDefault="006D39A0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9D69A8" w:rsidRPr="004F2DBB" w:rsidRDefault="009D69A8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513 072,3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D69A8" w:rsidRPr="004F2DBB" w:rsidRDefault="009D69A8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513 072,3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654D7C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684C" w:rsidRPr="006A01F3" w:rsidRDefault="00F9684C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513 072,3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684C" w:rsidRPr="006A01F3" w:rsidRDefault="00F9684C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513 072,3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6A01F3" w:rsidP="005C6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684C"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38BF"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D948B4" w:rsidRPr="00E573A5" w:rsidRDefault="00D948B4" w:rsidP="00D948B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894CA3" w:rsidRDefault="006C37A3" w:rsidP="006C37A3">
            <w:r w:rsidRPr="00894CA3">
              <w:rPr>
                <w:rFonts w:cs="Times New Roman"/>
                <w:color w:val="000000"/>
                <w:sz w:val="20"/>
              </w:rPr>
              <w:t>514 893,9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6A01F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6C37A3" w:rsidRPr="00066071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894CA3" w:rsidRDefault="006C37A3" w:rsidP="006C37A3">
            <w:r w:rsidRPr="00894CA3">
              <w:rPr>
                <w:rFonts w:cs="Times New Roman"/>
                <w:color w:val="000000"/>
                <w:sz w:val="20"/>
              </w:rPr>
              <w:t>514 893,9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6A01F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6C37A3" w:rsidRPr="00066071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134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EC44F3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D62947" w:rsidRPr="00D73C11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</w:tcPr>
          <w:p w:rsidR="00D73C11" w:rsidRPr="00D73C11" w:rsidRDefault="00D73C11" w:rsidP="00D73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730027,9</w:t>
            </w:r>
          </w:p>
          <w:p w:rsidR="00D62947" w:rsidRPr="006A01F3" w:rsidRDefault="00D62947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AD3947" w:rsidP="006E186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AD3947" w:rsidP="009B707B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AD3947" w:rsidP="006E6C3D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6E6C3D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</w:t>
            </w:r>
            <w:r w:rsidR="00AD3947">
              <w:rPr>
                <w:sz w:val="20"/>
                <w:szCs w:val="18"/>
              </w:rPr>
              <w:t>96</w:t>
            </w:r>
            <w:r w:rsidR="00C22102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6E6C3D" w:rsidRPr="00315CD9" w:rsidRDefault="006E6C3D" w:rsidP="006E6C3D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AD3947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</w:t>
            </w:r>
            <w:r w:rsidR="006E6C3D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4C7BA2" w:rsidP="00B55D63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316738" w:rsidRDefault="004C7BA2" w:rsidP="009B707B">
            <w:pPr>
              <w:jc w:val="center"/>
              <w:rPr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316738" w:rsidRDefault="004C7BA2" w:rsidP="009B707B">
            <w:pPr>
              <w:jc w:val="center"/>
              <w:rPr>
                <w:b/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</w:t>
            </w:r>
            <w:r w:rsidRPr="00B55D63">
              <w:rPr>
                <w:rFonts w:cs="Times New Roman"/>
                <w:sz w:val="20"/>
                <w:szCs w:val="20"/>
              </w:rPr>
              <w:lastRenderedPageBreak/>
              <w:t xml:space="preserve">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рабочей документации для </w:t>
            </w: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>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  <w:r w:rsidR="00AD394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УФКиС,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730027,9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B707B" w:rsidRPr="003A6559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  <w:p w:rsidR="009B707B" w:rsidRPr="000F6A83" w:rsidRDefault="009B707B" w:rsidP="009B707B">
            <w:pPr>
              <w:jc w:val="center"/>
            </w:pP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lastRenderedPageBreak/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rPr>
          <w:trHeight w:val="554"/>
        </w:trPr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E27A7D" w:rsidRDefault="00494A85" w:rsidP="00AF5125">
      <w:pPr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90" w:rsidRDefault="00BD4190" w:rsidP="00817E29">
      <w:r>
        <w:separator/>
      </w:r>
    </w:p>
  </w:endnote>
  <w:endnote w:type="continuationSeparator" w:id="0">
    <w:p w:rsidR="00BD4190" w:rsidRDefault="00BD4190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90" w:rsidRDefault="00BD4190" w:rsidP="00817E29">
      <w:r>
        <w:separator/>
      </w:r>
    </w:p>
  </w:footnote>
  <w:footnote w:type="continuationSeparator" w:id="0">
    <w:p w:rsidR="00BD4190" w:rsidRDefault="00BD4190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D73C11" w:rsidRDefault="00D73C1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5125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D73C11" w:rsidRDefault="00D73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55C3"/>
    <w:rsid w:val="0003705B"/>
    <w:rsid w:val="0004528D"/>
    <w:rsid w:val="000464A1"/>
    <w:rsid w:val="00046880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0217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B2B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18CD"/>
    <w:rsid w:val="004D4CA0"/>
    <w:rsid w:val="004D5688"/>
    <w:rsid w:val="004E0D2F"/>
    <w:rsid w:val="004E1982"/>
    <w:rsid w:val="004E5A5D"/>
    <w:rsid w:val="004F0E8C"/>
    <w:rsid w:val="004F267B"/>
    <w:rsid w:val="004F2DBB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1BB4"/>
    <w:rsid w:val="007B22DD"/>
    <w:rsid w:val="007B32C6"/>
    <w:rsid w:val="007B773E"/>
    <w:rsid w:val="007B7F56"/>
    <w:rsid w:val="007C0C42"/>
    <w:rsid w:val="007C146B"/>
    <w:rsid w:val="007C1C87"/>
    <w:rsid w:val="007C3A7E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4CA3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33C8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6F9"/>
    <w:rsid w:val="009330D6"/>
    <w:rsid w:val="00933B18"/>
    <w:rsid w:val="009348D8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20D"/>
    <w:rsid w:val="00AE614B"/>
    <w:rsid w:val="00AE6E7B"/>
    <w:rsid w:val="00AE7C71"/>
    <w:rsid w:val="00AF1877"/>
    <w:rsid w:val="00AF27C4"/>
    <w:rsid w:val="00AF3118"/>
    <w:rsid w:val="00AF5125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D4190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2076"/>
    <w:rsid w:val="00C0219A"/>
    <w:rsid w:val="00C04174"/>
    <w:rsid w:val="00C124B8"/>
    <w:rsid w:val="00C13285"/>
    <w:rsid w:val="00C2089A"/>
    <w:rsid w:val="00C2187A"/>
    <w:rsid w:val="00C22102"/>
    <w:rsid w:val="00C23A9E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1D4D"/>
    <w:rsid w:val="00CB1A6C"/>
    <w:rsid w:val="00CB28CE"/>
    <w:rsid w:val="00CB4256"/>
    <w:rsid w:val="00CB4FB8"/>
    <w:rsid w:val="00CB71EE"/>
    <w:rsid w:val="00CB7A82"/>
    <w:rsid w:val="00CD061D"/>
    <w:rsid w:val="00CD0E4E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948B4"/>
    <w:rsid w:val="00D96460"/>
    <w:rsid w:val="00DA1A7A"/>
    <w:rsid w:val="00DA4905"/>
    <w:rsid w:val="00DA57D4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5B7F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7947-91F1-40A9-9812-8A8D492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7796-0867-4984-9C23-B5CC285F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1</Pages>
  <Words>14412</Words>
  <Characters>82150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54</cp:revision>
  <cp:lastPrinted>2022-10-06T09:37:00Z</cp:lastPrinted>
  <dcterms:created xsi:type="dcterms:W3CDTF">2021-12-06T06:59:00Z</dcterms:created>
  <dcterms:modified xsi:type="dcterms:W3CDTF">2022-10-18T12:48:00Z</dcterms:modified>
</cp:coreProperties>
</file>