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Pr="00162CC8" w:rsidRDefault="00191E54" w:rsidP="00162CC8">
      <w:pPr>
        <w:ind w:right="-1"/>
        <w:jc w:val="center"/>
        <w:rPr>
          <w:sz w:val="28"/>
          <w:szCs w:val="28"/>
        </w:rPr>
      </w:pPr>
      <w:r w:rsidRPr="00162CC8">
        <w:rPr>
          <w:noProof/>
          <w:sz w:val="28"/>
          <w:szCs w:val="28"/>
        </w:rPr>
        <w:drawing>
          <wp:inline distT="0" distB="0" distL="0" distR="0" wp14:anchorId="374C1BEE" wp14:editId="7DD83EEB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162CC8" w:rsidRDefault="00191E54" w:rsidP="00162CC8">
      <w:pPr>
        <w:ind w:right="-1"/>
        <w:jc w:val="center"/>
        <w:rPr>
          <w:sz w:val="28"/>
          <w:szCs w:val="28"/>
        </w:rPr>
      </w:pPr>
    </w:p>
    <w:p w:rsidR="00191E54" w:rsidRPr="00162CC8" w:rsidRDefault="00162CC8" w:rsidP="00162C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91E54" w:rsidRPr="00162CC8">
        <w:rPr>
          <w:sz w:val="28"/>
          <w:szCs w:val="28"/>
        </w:rPr>
        <w:t xml:space="preserve"> ГОРОДСКОГО ОКРУГА ЭЛЕКТРОСТАЛЬ</w:t>
      </w:r>
    </w:p>
    <w:p w:rsidR="00191E54" w:rsidRPr="00162CC8" w:rsidRDefault="00191E54" w:rsidP="00162CC8">
      <w:pPr>
        <w:ind w:right="-1"/>
        <w:jc w:val="center"/>
        <w:rPr>
          <w:sz w:val="28"/>
          <w:szCs w:val="28"/>
        </w:rPr>
      </w:pPr>
    </w:p>
    <w:p w:rsidR="00191E54" w:rsidRPr="00162CC8" w:rsidRDefault="00162CC8" w:rsidP="00162C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91E54" w:rsidRPr="00162CC8">
        <w:rPr>
          <w:sz w:val="28"/>
          <w:szCs w:val="28"/>
        </w:rPr>
        <w:t>ОБЛАСТИ</w:t>
      </w:r>
    </w:p>
    <w:p w:rsidR="00191E54" w:rsidRPr="00162CC8" w:rsidRDefault="00191E54" w:rsidP="00162CC8">
      <w:pPr>
        <w:ind w:right="-1"/>
        <w:jc w:val="center"/>
        <w:rPr>
          <w:sz w:val="28"/>
          <w:szCs w:val="28"/>
        </w:rPr>
      </w:pPr>
    </w:p>
    <w:p w:rsidR="00191E54" w:rsidRPr="00162CC8" w:rsidRDefault="00191E54" w:rsidP="00162CC8">
      <w:pPr>
        <w:ind w:right="-1"/>
        <w:jc w:val="center"/>
        <w:rPr>
          <w:sz w:val="44"/>
          <w:szCs w:val="44"/>
        </w:rPr>
      </w:pPr>
      <w:bookmarkStart w:id="0" w:name="_GoBack"/>
      <w:r w:rsidRPr="00162CC8">
        <w:rPr>
          <w:sz w:val="44"/>
          <w:szCs w:val="44"/>
        </w:rPr>
        <w:t>ПОСТАНОВЛЕНИЕ</w:t>
      </w:r>
    </w:p>
    <w:p w:rsidR="00191E54" w:rsidRPr="00162CC8" w:rsidRDefault="00191E54" w:rsidP="00162CC8">
      <w:pPr>
        <w:tabs>
          <w:tab w:val="left" w:pos="3555"/>
        </w:tabs>
        <w:ind w:right="-1"/>
        <w:jc w:val="center"/>
        <w:outlineLvl w:val="0"/>
        <w:rPr>
          <w:sz w:val="44"/>
          <w:szCs w:val="44"/>
        </w:rPr>
      </w:pPr>
    </w:p>
    <w:p w:rsidR="00191E54" w:rsidRPr="00B4173D" w:rsidRDefault="003F2FE4" w:rsidP="00162CC8">
      <w:pPr>
        <w:ind w:right="-1"/>
        <w:jc w:val="center"/>
        <w:outlineLvl w:val="0"/>
      </w:pPr>
      <w:r w:rsidRPr="00162CC8">
        <w:t>26.12.2022</w:t>
      </w:r>
      <w:r w:rsidR="00191E54" w:rsidRPr="00162CC8">
        <w:t xml:space="preserve"> </w:t>
      </w:r>
      <w:r w:rsidR="00191E54" w:rsidRPr="00537687">
        <w:t xml:space="preserve">№ </w:t>
      </w:r>
      <w:r w:rsidRPr="00162CC8">
        <w:t>1533/12</w:t>
      </w:r>
    </w:p>
    <w:p w:rsidR="004E3805" w:rsidRDefault="004E3805" w:rsidP="00162CC8">
      <w:pPr>
        <w:ind w:right="-1"/>
        <w:jc w:val="center"/>
        <w:outlineLvl w:val="0"/>
      </w:pPr>
    </w:p>
    <w:p w:rsidR="00162CC8" w:rsidRPr="0039322A" w:rsidRDefault="00162CC8" w:rsidP="00162CC8">
      <w:pPr>
        <w:ind w:right="-1"/>
        <w:jc w:val="center"/>
        <w:outlineLvl w:val="0"/>
      </w:pPr>
    </w:p>
    <w:p w:rsidR="00191E54" w:rsidRPr="00262307" w:rsidRDefault="00191E54" w:rsidP="00162CC8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  <w:r w:rsidR="00162CC8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</w:t>
      </w:r>
      <w:r w:rsidR="00162CC8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4E3805" w:rsidRDefault="004E3805" w:rsidP="00162CC8">
      <w:pPr>
        <w:ind w:right="-1"/>
        <w:jc w:val="center"/>
      </w:pPr>
    </w:p>
    <w:p w:rsidR="00162CC8" w:rsidRPr="00162CC8" w:rsidRDefault="00162CC8" w:rsidP="00162CC8">
      <w:pPr>
        <w:ind w:right="-1"/>
        <w:jc w:val="center"/>
      </w:pPr>
    </w:p>
    <w:p w:rsidR="009A70E3" w:rsidRPr="009A70E3" w:rsidRDefault="00191E54" w:rsidP="00C51E16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>,</w:t>
      </w:r>
      <w:r w:rsidR="00EC52EE">
        <w:rPr>
          <w:kern w:val="16"/>
        </w:rPr>
        <w:t xml:space="preserve"> </w:t>
      </w:r>
      <w:r w:rsidR="009A70E3">
        <w:rPr>
          <w:kern w:val="16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</w:t>
      </w:r>
      <w:r w:rsidR="00EC52EE">
        <w:rPr>
          <w:kern w:val="16"/>
        </w:rPr>
        <w:t>0.06.2022 №623/6</w:t>
      </w:r>
      <w:r w:rsidR="000D79C3">
        <w:rPr>
          <w:kern w:val="16"/>
        </w:rPr>
        <w:t>, от 03.11.2022 №1254/11</w:t>
      </w:r>
      <w:r w:rsidR="009A70E3">
        <w:rPr>
          <w:kern w:val="16"/>
        </w:rPr>
        <w:t xml:space="preserve">), решением Совета депутатов </w:t>
      </w:r>
      <w:r w:rsidR="009A70E3" w:rsidRPr="009A70E3">
        <w:rPr>
          <w:kern w:val="16"/>
        </w:rPr>
        <w:t>городского округа Электросталь Московской области от 16.12.2021 №106/22 «О бюджете городского округа  Электросталь Московской области на 2022 год и на плановый период 2023 и 2024 годов», Администрация городского округа Электросталь Московской области ПОСТАНОВЛЯЕТ:</w:t>
      </w:r>
      <w:r w:rsidRPr="00984A7F">
        <w:rPr>
          <w:kern w:val="16"/>
        </w:rPr>
        <w:t xml:space="preserve"> </w:t>
      </w:r>
    </w:p>
    <w:p w:rsidR="00191E54" w:rsidRPr="005221FB" w:rsidRDefault="00191E54" w:rsidP="00C51E16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</w:t>
      </w:r>
      <w:r w:rsidR="00746280" w:rsidRPr="00746280">
        <w:rPr>
          <w:bCs/>
          <w:color w:val="000000" w:themeColor="text1"/>
        </w:rPr>
        <w:t>1</w:t>
      </w:r>
      <w:r w:rsidRPr="00746280">
        <w:rPr>
          <w:bCs/>
          <w:color w:val="000000" w:themeColor="text1"/>
        </w:rPr>
        <w:t>4.02.2020 № 85/2</w:t>
      </w:r>
      <w:r>
        <w:rPr>
          <w:bCs/>
        </w:rPr>
        <w:t xml:space="preserve">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 xml:space="preserve">, от </w:t>
      </w:r>
      <w:r w:rsidR="00D62947" w:rsidRPr="006A01F3">
        <w:rPr>
          <w:bCs/>
          <w:color w:val="000000" w:themeColor="text1"/>
        </w:rPr>
        <w:t>20.09.2022 №1056/9</w:t>
      </w:r>
      <w:r w:rsidR="00B427AC">
        <w:rPr>
          <w:bCs/>
          <w:color w:val="000000" w:themeColor="text1"/>
        </w:rPr>
        <w:t>,</w:t>
      </w:r>
      <w:r w:rsidR="00B427AC" w:rsidRPr="00B427AC">
        <w:rPr>
          <w:bCs/>
          <w:color w:val="000000" w:themeColor="text1"/>
        </w:rPr>
        <w:t xml:space="preserve"> </w:t>
      </w:r>
      <w:r w:rsidR="00B427AC">
        <w:rPr>
          <w:bCs/>
          <w:color w:val="000000" w:themeColor="text1"/>
        </w:rPr>
        <w:t>от 07.10.2022 №1151/10</w:t>
      </w:r>
      <w:r w:rsidR="00444D82">
        <w:rPr>
          <w:bCs/>
          <w:color w:val="000000" w:themeColor="text1"/>
        </w:rPr>
        <w:t>, от 25.10.2022 №1214/10</w:t>
      </w:r>
      <w:r w:rsidR="00EB1AA7">
        <w:rPr>
          <w:bCs/>
          <w:color w:val="000000" w:themeColor="text1"/>
        </w:rPr>
        <w:t>, от 22.11.2022 №1328/11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C51E16">
      <w:pPr>
        <w:tabs>
          <w:tab w:val="center" w:pos="4677"/>
        </w:tabs>
        <w:ind w:firstLine="709"/>
        <w:jc w:val="both"/>
      </w:pPr>
      <w:r w:rsidRPr="005221FB">
        <w:t>2. Опублик</w:t>
      </w:r>
      <w:r w:rsidR="00F55BC9">
        <w:t xml:space="preserve">овать настоящее постановление </w:t>
      </w:r>
      <w:r w:rsidRPr="005221FB">
        <w:t>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C51E16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</w:t>
      </w:r>
      <w:r w:rsidR="002B3EF2">
        <w:t xml:space="preserve"> и</w:t>
      </w:r>
      <w:r w:rsidR="002B3EF2">
        <w:rPr>
          <w:rFonts w:cs="Times New Roman"/>
        </w:rPr>
        <w:t> </w:t>
      </w:r>
      <w:r w:rsidR="002B3EF2">
        <w:t>действует до 01.04.2023</w:t>
      </w:r>
      <w:r w:rsidRPr="005221FB">
        <w:t>.</w:t>
      </w:r>
    </w:p>
    <w:p w:rsidR="00BA09CB" w:rsidRDefault="00191E54" w:rsidP="00C51E16">
      <w:pPr>
        <w:tabs>
          <w:tab w:val="center" w:pos="4677"/>
        </w:tabs>
        <w:ind w:firstLine="709"/>
        <w:jc w:val="both"/>
      </w:pPr>
      <w:r>
        <w:t>4</w:t>
      </w:r>
      <w:r w:rsidRPr="005221FB">
        <w:t>. Контроль за исполнением настоящего постановления возложить на</w:t>
      </w:r>
      <w:r w:rsidR="007355E9">
        <w:t xml:space="preserve"> </w:t>
      </w:r>
      <w:r w:rsidR="00E407F2" w:rsidRPr="00937339">
        <w:t>п</w:t>
      </w:r>
      <w:r w:rsidR="007355E9" w:rsidRPr="00937339">
        <w:t>ервого</w:t>
      </w:r>
      <w:r w:rsidRPr="005221FB">
        <w:t xml:space="preserve"> заместителя Главы Администрации городского округа Электросталь Московской области </w:t>
      </w:r>
      <w:r>
        <w:t xml:space="preserve">                     </w:t>
      </w:r>
      <w:proofErr w:type="spellStart"/>
      <w:r w:rsidR="003741C9" w:rsidRPr="00937339">
        <w:t>Печникову</w:t>
      </w:r>
      <w:proofErr w:type="spellEnd"/>
      <w:r w:rsidR="007F1D39" w:rsidRPr="00937339">
        <w:t xml:space="preserve"> О.В.</w:t>
      </w:r>
    </w:p>
    <w:p w:rsidR="00FA5FE7" w:rsidRDefault="00FA5FE7" w:rsidP="00B427AC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</w:t>
      </w:r>
      <w:r w:rsidR="00C51E16">
        <w:t xml:space="preserve">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 xml:space="preserve">от </w:t>
      </w:r>
      <w:r w:rsidR="00162CC8" w:rsidRPr="00162CC8">
        <w:t xml:space="preserve">26.12.2022 </w:t>
      </w:r>
      <w:r w:rsidR="00162CC8" w:rsidRPr="00537687">
        <w:t xml:space="preserve">№ </w:t>
      </w:r>
      <w:r w:rsidR="00162CC8" w:rsidRPr="00162CC8">
        <w:t>1533/12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E83546">
      <w:pPr>
        <w:ind w:left="4678"/>
      </w:pPr>
      <w:r w:rsidRPr="00984A7F">
        <w:t>постановлением Администрации городского</w:t>
      </w:r>
    </w:p>
    <w:p w:rsidR="00191E54" w:rsidRDefault="00191E54" w:rsidP="00E83546">
      <w:pPr>
        <w:ind w:left="4678"/>
      </w:pP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E83546">
      <w:pPr>
        <w:ind w:left="4678"/>
      </w:pPr>
      <w:r w:rsidRPr="00984A7F">
        <w:t xml:space="preserve">от </w:t>
      </w:r>
      <w:r w:rsidRPr="00162CC8">
        <w:t>13.12.2019</w:t>
      </w:r>
      <w:r w:rsidRPr="00984A7F">
        <w:t xml:space="preserve"> № </w:t>
      </w:r>
      <w:r w:rsidRPr="00162CC8">
        <w:t>950/12</w:t>
      </w:r>
    </w:p>
    <w:p w:rsidR="00191E54" w:rsidRDefault="00191E54" w:rsidP="00E83546">
      <w:pPr>
        <w:ind w:left="4678"/>
        <w:rPr>
          <w:bCs/>
        </w:rPr>
      </w:pPr>
      <w:r>
        <w:t>(</w:t>
      </w:r>
      <w:r w:rsidR="00162CC8">
        <w:rPr>
          <w:bCs/>
        </w:rPr>
        <w:t xml:space="preserve">в редакции постановлений </w:t>
      </w:r>
      <w:r>
        <w:rPr>
          <w:bCs/>
        </w:rPr>
        <w:t xml:space="preserve">Администрации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Московской области от </w:t>
      </w:r>
      <w:r w:rsidRPr="00746280">
        <w:rPr>
          <w:bCs/>
          <w:color w:val="000000" w:themeColor="text1"/>
        </w:rPr>
        <w:t>14.02.2020 № 85/2</w:t>
      </w:r>
      <w:r>
        <w:rPr>
          <w:bCs/>
        </w:rPr>
        <w:t>,</w:t>
      </w:r>
      <w:r w:rsidRPr="006A3C79">
        <w:rPr>
          <w:bCs/>
        </w:rPr>
        <w:t xml:space="preserve"> </w:t>
      </w:r>
    </w:p>
    <w:p w:rsidR="00191E54" w:rsidRPr="0064212A" w:rsidRDefault="00191E54" w:rsidP="00E83546">
      <w:pPr>
        <w:ind w:left="4678"/>
      </w:pPr>
      <w:r>
        <w:rPr>
          <w:bCs/>
        </w:rPr>
        <w:t>от 21.04.2020 № 267/4, от 14.05.2020</w:t>
      </w:r>
      <w:r w:rsidR="00E83546">
        <w:rPr>
          <w:bCs/>
        </w:rPr>
        <w:t xml:space="preserve"> </w:t>
      </w:r>
      <w:r>
        <w:rPr>
          <w:bCs/>
        </w:rPr>
        <w:t>№ 307/5,</w:t>
      </w:r>
      <w:r w:rsidRPr="0040008F">
        <w:rPr>
          <w:bCs/>
        </w:rPr>
        <w:t xml:space="preserve"> </w:t>
      </w:r>
      <w:r w:rsidR="00E83546">
        <w:rPr>
          <w:bCs/>
        </w:rPr>
        <w:t xml:space="preserve">от 09.07.2020 № 430/7, </w:t>
      </w:r>
      <w:r>
        <w:rPr>
          <w:bCs/>
        </w:rPr>
        <w:t xml:space="preserve">от 07.12.2020 № 838/12, </w:t>
      </w:r>
      <w:r w:rsidRPr="0099776D">
        <w:rPr>
          <w:bCs/>
          <w:color w:val="000000" w:themeColor="text1"/>
        </w:rPr>
        <w:t>от 01.02.2021</w:t>
      </w:r>
      <w:r w:rsidR="00E83546">
        <w:rPr>
          <w:bCs/>
          <w:color w:val="000000" w:themeColor="text1"/>
        </w:rPr>
        <w:t xml:space="preserve">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>, 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162CC8">
        <w:rPr>
          <w:bCs/>
          <w:color w:val="000000" w:themeColor="text1"/>
        </w:rPr>
        <w:t xml:space="preserve">, </w:t>
      </w:r>
      <w:r w:rsidR="003D440F">
        <w:rPr>
          <w:bCs/>
          <w:color w:val="000000" w:themeColor="text1"/>
        </w:rPr>
        <w:t>от 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>,</w:t>
      </w:r>
      <w:r w:rsidR="00D62947" w:rsidRPr="00D62947">
        <w:rPr>
          <w:bCs/>
          <w:color w:val="000000" w:themeColor="text1"/>
        </w:rPr>
        <w:t xml:space="preserve"> </w:t>
      </w:r>
      <w:r w:rsidR="00D62947">
        <w:rPr>
          <w:bCs/>
          <w:color w:val="000000" w:themeColor="text1"/>
        </w:rPr>
        <w:t xml:space="preserve">от </w:t>
      </w:r>
      <w:r w:rsidR="00D62947" w:rsidRPr="006A01F3">
        <w:rPr>
          <w:bCs/>
          <w:color w:val="000000" w:themeColor="text1"/>
        </w:rPr>
        <w:t>20.09.2022 №1056/9</w:t>
      </w:r>
      <w:r w:rsidR="00B427AC">
        <w:rPr>
          <w:bCs/>
          <w:color w:val="000000" w:themeColor="text1"/>
        </w:rPr>
        <w:t>, от 07.10.2022 №1151/10</w:t>
      </w:r>
      <w:r w:rsidR="00444D82">
        <w:rPr>
          <w:bCs/>
          <w:color w:val="000000" w:themeColor="text1"/>
        </w:rPr>
        <w:t>,</w:t>
      </w:r>
      <w:r w:rsidR="00444D82" w:rsidRPr="00444D82">
        <w:rPr>
          <w:bCs/>
          <w:color w:val="000000" w:themeColor="text1"/>
        </w:rPr>
        <w:t xml:space="preserve"> </w:t>
      </w:r>
      <w:r w:rsidR="00444D82">
        <w:rPr>
          <w:bCs/>
          <w:color w:val="000000" w:themeColor="text1"/>
        </w:rPr>
        <w:t>от 25.10.2022 №1214/10</w:t>
      </w:r>
      <w:r w:rsidR="00EB1AA7">
        <w:rPr>
          <w:bCs/>
          <w:color w:val="000000" w:themeColor="text1"/>
        </w:rPr>
        <w:t>, от 22.11.2022 №1328/11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E83546" w:rsidRDefault="00E83546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E67B78" w:rsidRPr="007543DB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992"/>
        <w:gridCol w:w="992"/>
        <w:gridCol w:w="1134"/>
        <w:gridCol w:w="992"/>
        <w:gridCol w:w="993"/>
        <w:gridCol w:w="993"/>
      </w:tblGrid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Default="00E67B78" w:rsidP="000A2F1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937339">
              <w:rPr>
                <w:rFonts w:ascii="Times New Roman" w:hAnsi="Times New Roman" w:cs="Times New Roman"/>
                <w:szCs w:val="22"/>
              </w:rPr>
              <w:t>Печникова</w:t>
            </w:r>
            <w:proofErr w:type="spellEnd"/>
            <w:r w:rsidRPr="00937339">
              <w:rPr>
                <w:rFonts w:ascii="Times New Roman" w:hAnsi="Times New Roman" w:cs="Times New Roman"/>
                <w:szCs w:val="22"/>
              </w:rPr>
              <w:t xml:space="preserve"> Ольга Викторовна -первый заместитель Главы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 xml:space="preserve">2.Повышение эффективности использования возможностей физической культуры и спорта в укреплении </w:t>
            </w:r>
            <w:proofErr w:type="gramStart"/>
            <w:r w:rsidRPr="000A2F12">
              <w:rPr>
                <w:rFonts w:cs="Times New Roman"/>
                <w:sz w:val="22"/>
                <w:szCs w:val="22"/>
              </w:rPr>
              <w:t>здоровья  всестороннего</w:t>
            </w:r>
            <w:proofErr w:type="gramEnd"/>
            <w:r w:rsidRPr="000A2F12">
              <w:rPr>
                <w:rFonts w:cs="Times New Roman"/>
                <w:sz w:val="22"/>
                <w:szCs w:val="22"/>
              </w:rPr>
              <w:t xml:space="preserve"> и гармоничного развития личности.</w:t>
            </w:r>
          </w:p>
          <w:p w:rsidR="00E67B78" w:rsidRPr="000A2F12" w:rsidRDefault="00E67B78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 xml:space="preserve">4. Развитие спортивной инфраструктуры для занятий «массовым спортом» и </w:t>
            </w:r>
            <w:r w:rsidRPr="000A2F12">
              <w:rPr>
                <w:rFonts w:cs="Times New Roman"/>
                <w:sz w:val="22"/>
                <w:szCs w:val="22"/>
              </w:rPr>
              <w:lastRenderedPageBreak/>
              <w:t xml:space="preserve">спортом высших достижений, а </w:t>
            </w:r>
            <w:proofErr w:type="gramStart"/>
            <w:r w:rsidRPr="000A2F12">
              <w:rPr>
                <w:rFonts w:cs="Times New Roman"/>
                <w:sz w:val="22"/>
                <w:szCs w:val="22"/>
              </w:rPr>
              <w:t>так же</w:t>
            </w:r>
            <w:proofErr w:type="gramEnd"/>
            <w:r w:rsidRPr="000A2F12">
              <w:rPr>
                <w:rFonts w:cs="Times New Roman"/>
                <w:sz w:val="22"/>
                <w:szCs w:val="22"/>
              </w:rPr>
              <w:t xml:space="preserve"> укрепление материально-технической базы муниципальных спортивных школ.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2F12">
              <w:rPr>
                <w:rFonts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372" w:type="dxa"/>
            <w:gridSpan w:val="7"/>
          </w:tcPr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«Развитие физической культуры и спорта»</w:t>
            </w:r>
          </w:p>
          <w:p w:rsidR="00E67B78" w:rsidRPr="00D6193B" w:rsidRDefault="00E67B78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E67B78" w:rsidRPr="00EB064A" w:rsidTr="00E67B78">
        <w:tc>
          <w:tcPr>
            <w:tcW w:w="1985" w:type="dxa"/>
            <w:vMerge w:val="restart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7372" w:type="dxa"/>
            <w:gridSpan w:val="7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67B78" w:rsidRPr="00EB064A" w:rsidTr="00632B9A">
        <w:trPr>
          <w:trHeight w:val="20"/>
        </w:trPr>
        <w:tc>
          <w:tcPr>
            <w:tcW w:w="1985" w:type="dxa"/>
            <w:vMerge/>
          </w:tcPr>
          <w:p w:rsidR="00E67B78" w:rsidRPr="00EB064A" w:rsidRDefault="00E67B78" w:rsidP="000A2F1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63821" w:rsidRPr="00F42CBC" w:rsidRDefault="00E0184C" w:rsidP="00D73C11">
            <w:pPr>
              <w:pStyle w:val="ConsPlusNormal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1 310342,6</w:t>
            </w:r>
          </w:p>
        </w:tc>
        <w:tc>
          <w:tcPr>
            <w:tcW w:w="992" w:type="dxa"/>
          </w:tcPr>
          <w:p w:rsidR="00E67B78" w:rsidRPr="003A6559" w:rsidRDefault="00E67B78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1134" w:type="dxa"/>
          </w:tcPr>
          <w:p w:rsidR="0005095C" w:rsidRPr="00E0184C" w:rsidRDefault="00CD29A4" w:rsidP="00E01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</w:t>
            </w:r>
            <w:r w:rsidR="00632B9A">
              <w:rPr>
                <w:rFonts w:ascii="Times New Roman" w:hAnsi="Times New Roman" w:cs="Times New Roman"/>
                <w:sz w:val="20"/>
              </w:rPr>
              <w:t>135,7</w:t>
            </w:r>
          </w:p>
        </w:tc>
        <w:tc>
          <w:tcPr>
            <w:tcW w:w="992" w:type="dxa"/>
          </w:tcPr>
          <w:p w:rsidR="00E67B78" w:rsidRPr="00252DA7" w:rsidRDefault="00E67B78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E0184C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194913,5</w:t>
            </w:r>
          </w:p>
        </w:tc>
        <w:tc>
          <w:tcPr>
            <w:tcW w:w="993" w:type="dxa"/>
          </w:tcPr>
          <w:p w:rsidR="00E67B78" w:rsidRPr="006A10AE" w:rsidRDefault="00D73C11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73C11" w:rsidRPr="00E0184C" w:rsidRDefault="00A47E13" w:rsidP="00E01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A47E13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67B78" w:rsidRPr="003A6559" w:rsidRDefault="00E67B78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D73C11" w:rsidRPr="00E0184C" w:rsidRDefault="006A10AE" w:rsidP="00E01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6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</w:tcPr>
          <w:p w:rsidR="00632B9A" w:rsidRPr="00363821" w:rsidRDefault="00E0184C" w:rsidP="008F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1 312 537,3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1134" w:type="dxa"/>
          </w:tcPr>
          <w:p w:rsidR="0005095C" w:rsidRPr="00252DA7" w:rsidRDefault="00CD29A4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</w:t>
            </w:r>
            <w:r w:rsidR="00E0184C">
              <w:rPr>
                <w:rFonts w:ascii="Times New Roman" w:hAnsi="Times New Roman" w:cs="Times New Roman"/>
                <w:sz w:val="20"/>
              </w:rPr>
              <w:t>135,7</w:t>
            </w:r>
          </w:p>
        </w:tc>
        <w:tc>
          <w:tcPr>
            <w:tcW w:w="992" w:type="dxa"/>
          </w:tcPr>
          <w:p w:rsidR="00E67B78" w:rsidRPr="00252DA7" w:rsidRDefault="00E67B78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E0184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194913,5</w:t>
            </w:r>
          </w:p>
        </w:tc>
        <w:tc>
          <w:tcPr>
            <w:tcW w:w="993" w:type="dxa"/>
          </w:tcPr>
          <w:p w:rsidR="00E67B78" w:rsidRPr="006A10AE" w:rsidRDefault="00D73C11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Физическая культура и спорт являются составными элементами общей культуры личности. Занятия физической культурой и спортом, ведение здорового образа </w:t>
      </w:r>
      <w:proofErr w:type="gramStart"/>
      <w:r w:rsidRPr="006A6E5D">
        <w:rPr>
          <w:rFonts w:cs="Times New Roman"/>
        </w:rPr>
        <w:t>жизни  значительно</w:t>
      </w:r>
      <w:proofErr w:type="gramEnd"/>
      <w:r w:rsidRPr="006A6E5D">
        <w:rPr>
          <w:rFonts w:cs="Times New Roman"/>
        </w:rPr>
        <w:t xml:space="preserve">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</w:t>
      </w:r>
      <w:r w:rsidRPr="006A6E5D">
        <w:rPr>
          <w:rFonts w:cs="Times New Roman"/>
        </w:rPr>
        <w:lastRenderedPageBreak/>
        <w:t xml:space="preserve">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</w:t>
      </w:r>
      <w:proofErr w:type="gramStart"/>
      <w:r w:rsidRPr="006A6E5D">
        <w:rPr>
          <w:rFonts w:cs="Times New Roman"/>
        </w:rPr>
        <w:t>региональных  целевых</w:t>
      </w:r>
      <w:proofErr w:type="gramEnd"/>
      <w:r w:rsidRPr="006A6E5D">
        <w:rPr>
          <w:rFonts w:cs="Times New Roman"/>
        </w:rPr>
        <w:t xml:space="preserve">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</w:t>
      </w:r>
      <w:proofErr w:type="spellStart"/>
      <w:r>
        <w:rPr>
          <w:rFonts w:cs="Times New Roman"/>
        </w:rPr>
        <w:t>Ионова</w:t>
      </w:r>
      <w:proofErr w:type="spellEnd"/>
      <w:r>
        <w:rPr>
          <w:rFonts w:cs="Times New Roman"/>
        </w:rPr>
        <w:t>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</w:t>
      </w:r>
      <w:proofErr w:type="spellStart"/>
      <w:r w:rsidR="0091657D">
        <w:rPr>
          <w:rFonts w:cs="Times New Roman"/>
        </w:rPr>
        <w:t>Воркаут</w:t>
      </w:r>
      <w:proofErr w:type="spellEnd"/>
      <w:r w:rsidR="0091657D">
        <w:rPr>
          <w:rFonts w:cs="Times New Roman"/>
        </w:rPr>
        <w:t>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В рамках </w:t>
      </w:r>
      <w:proofErr w:type="gramStart"/>
      <w:r w:rsidRPr="006A6E5D">
        <w:rPr>
          <w:rFonts w:cs="Times New Roman"/>
        </w:rPr>
        <w:t>данной  Программы</w:t>
      </w:r>
      <w:proofErr w:type="gramEnd"/>
      <w:r w:rsidRPr="006A6E5D">
        <w:rPr>
          <w:rFonts w:cs="Times New Roman"/>
        </w:rPr>
        <w:t xml:space="preserve">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К числу </w:t>
      </w:r>
      <w:proofErr w:type="gramStart"/>
      <w:r w:rsidRPr="006A6E5D">
        <w:rPr>
          <w:rFonts w:cs="Times New Roman"/>
        </w:rPr>
        <w:t>элементов</w:t>
      </w:r>
      <w:proofErr w:type="gramEnd"/>
      <w:r w:rsidRPr="006A6E5D">
        <w:rPr>
          <w:rFonts w:cs="Times New Roman"/>
        </w:rPr>
        <w:t xml:space="preserve">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 xml:space="preserve">отсутствие действенной </w:t>
      </w:r>
      <w:proofErr w:type="gramStart"/>
      <w:r w:rsidRPr="006A6E5D">
        <w:rPr>
          <w:rFonts w:cs="Times New Roman"/>
        </w:rPr>
        <w:t>системы  повышения</w:t>
      </w:r>
      <w:proofErr w:type="gramEnd"/>
      <w:r w:rsidRPr="006A6E5D">
        <w:rPr>
          <w:rFonts w:cs="Times New Roman"/>
        </w:rPr>
        <w:t xml:space="preserve">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006A13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006A13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proofErr w:type="gramEnd"/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006A13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</w:t>
      </w:r>
      <w:r w:rsidR="00BF6B2A" w:rsidRPr="00BF6B2A">
        <w:rPr>
          <w:rFonts w:eastAsiaTheme="minorHAnsi"/>
        </w:rPr>
        <w:lastRenderedPageBreak/>
        <w:t xml:space="preserve">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006A13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006A13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proofErr w:type="gramStart"/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</w:t>
      </w:r>
      <w:proofErr w:type="gramEnd"/>
      <w:r w:rsidR="00BF6B2A" w:rsidRPr="00511DD0">
        <w:rPr>
          <w:rFonts w:eastAsiaTheme="minorHAnsi"/>
        </w:rPr>
        <w:t xml:space="preserve">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proofErr w:type="gram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>-парков</w:t>
      </w:r>
      <w:proofErr w:type="gramEnd"/>
      <w:r w:rsidRPr="000E0E99">
        <w:rPr>
          <w:rFonts w:eastAsiaTheme="minorHAnsi"/>
        </w:rPr>
        <w:t xml:space="preserve">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</w:t>
      </w:r>
      <w:proofErr w:type="spellStart"/>
      <w:r w:rsidR="0091657D">
        <w:rPr>
          <w:rFonts w:eastAsiaTheme="minorHAnsi"/>
        </w:rPr>
        <w:t>Воркаут</w:t>
      </w:r>
      <w:proofErr w:type="spellEnd"/>
      <w:r w:rsidR="0091657D">
        <w:rPr>
          <w:rFonts w:eastAsiaTheme="minorHAnsi"/>
        </w:rPr>
        <w:t>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162CC8">
          <w:headerReference w:type="defaul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559"/>
        <w:gridCol w:w="1560"/>
        <w:gridCol w:w="1559"/>
        <w:gridCol w:w="1134"/>
        <w:gridCol w:w="992"/>
        <w:gridCol w:w="992"/>
        <w:gridCol w:w="993"/>
        <w:gridCol w:w="992"/>
        <w:gridCol w:w="992"/>
        <w:gridCol w:w="1808"/>
      </w:tblGrid>
      <w:tr w:rsidR="003735D0" w:rsidRPr="0056728D" w:rsidTr="003735D0">
        <w:trPr>
          <w:trHeight w:val="1446"/>
        </w:trPr>
        <w:tc>
          <w:tcPr>
            <w:tcW w:w="568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35D0" w:rsidRPr="004B3B84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proofErr w:type="gramStart"/>
            <w:r w:rsidRPr="004B3B84">
              <w:rPr>
                <w:rFonts w:ascii="Times New Roman" w:hAnsi="Times New Roman" w:cs="Times New Roman"/>
                <w:szCs w:val="22"/>
              </w:rPr>
              <w:t>реализации  муниципальной</w:t>
            </w:r>
            <w:proofErr w:type="gramEnd"/>
            <w:r w:rsidRPr="004B3B84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1559" w:type="dxa"/>
            <w:vMerge w:val="restart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08" w:type="dxa"/>
            <w:vMerge w:val="restart"/>
            <w:vAlign w:val="center"/>
          </w:tcPr>
          <w:p w:rsidR="003735D0" w:rsidRPr="0056728D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3735D0" w:rsidRPr="0056728D" w:rsidTr="003735D0">
        <w:tc>
          <w:tcPr>
            <w:tcW w:w="568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735D0" w:rsidRPr="004B3B84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025001" w:rsidRDefault="003735D0" w:rsidP="001E56EC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808" w:type="dxa"/>
            <w:vMerge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rPr>
          <w:trHeight w:val="157"/>
        </w:trPr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0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A203B" w:rsidRPr="0056728D" w:rsidTr="003765CC">
        <w:trPr>
          <w:trHeight w:val="157"/>
        </w:trPr>
        <w:tc>
          <w:tcPr>
            <w:tcW w:w="15417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– Доля жителей муниципального </w:t>
            </w:r>
            <w:proofErr w:type="gramStart"/>
            <w:r w:rsidRPr="00242DB6">
              <w:rPr>
                <w:rFonts w:ascii="Times New Roman" w:hAnsi="Times New Roman" w:cs="Times New Roman"/>
                <w:szCs w:val="22"/>
              </w:rPr>
              <w:t>образования  Московской</w:t>
            </w:r>
            <w:proofErr w:type="gramEnd"/>
            <w:r w:rsidRPr="00242DB6">
              <w:rPr>
                <w:rFonts w:ascii="Times New Roman" w:hAnsi="Times New Roman" w:cs="Times New Roman"/>
                <w:szCs w:val="22"/>
              </w:rPr>
              <w:t xml:space="preserve"> области, систематически занимающихся физической культурой и спортом,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59" w:type="dxa"/>
          </w:tcPr>
          <w:p w:rsidR="003735D0" w:rsidRPr="001E4A80" w:rsidRDefault="003735D0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Указ 204, </w:t>
            </w:r>
            <w:r>
              <w:rPr>
                <w:rFonts w:ascii="Times New Roman" w:hAnsi="Times New Roman" w:cs="Times New Roman"/>
                <w:szCs w:val="22"/>
              </w:rPr>
              <w:t>показатель Регионального проекта «Спорт-норма жизни»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2" w:type="dxa"/>
          </w:tcPr>
          <w:p w:rsidR="003735D0" w:rsidRPr="00D207A7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7A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B7F26" w:rsidRPr="001E4A80" w:rsidRDefault="00FB7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Pr="001E4A8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D207A7" w:rsidP="003735D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07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CD061D" w:rsidRPr="0056728D" w:rsidTr="003735D0">
        <w:tc>
          <w:tcPr>
            <w:tcW w:w="568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</w:tcPr>
          <w:p w:rsidR="00CD061D" w:rsidRPr="00242DB6" w:rsidRDefault="00CD061D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43D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</w:t>
            </w:r>
            <w:proofErr w:type="gramEnd"/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– Доля жителей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 Московской области,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CD061D" w:rsidRDefault="00CD061D" w:rsidP="00CD06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Регионального проекта «Спорт-норма жизни»</w:t>
            </w:r>
          </w:p>
        </w:tc>
        <w:tc>
          <w:tcPr>
            <w:tcW w:w="1560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CD061D" w:rsidRPr="001E4A80" w:rsidRDefault="0094339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7543DB" w:rsidRDefault="00567D92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51,9</w:t>
            </w:r>
          </w:p>
        </w:tc>
        <w:tc>
          <w:tcPr>
            <w:tcW w:w="993" w:type="dxa"/>
          </w:tcPr>
          <w:p w:rsidR="00CD061D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992" w:type="dxa"/>
          </w:tcPr>
          <w:p w:rsidR="00CD061D" w:rsidRPr="00747CF5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3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808" w:type="dxa"/>
          </w:tcPr>
          <w:p w:rsidR="00CD061D" w:rsidRDefault="00D207A7" w:rsidP="00370A50">
            <w:pPr>
              <w:pStyle w:val="ConsPlusNormal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3735D0" w:rsidRPr="004B3B84" w:rsidRDefault="003735D0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060537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</w:t>
            </w:r>
            <w:proofErr w:type="gramEnd"/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735D0" w:rsidRPr="001E4A80" w:rsidRDefault="00CD061D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3735D0">
              <w:rPr>
                <w:rFonts w:ascii="Times New Roman" w:hAnsi="Times New Roman" w:cs="Times New Roman"/>
                <w:szCs w:val="22"/>
              </w:rPr>
              <w:t>оказатель Регионального проекта «Спорт-норма жизни»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993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992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3735D0" w:rsidRPr="000E3BE5" w:rsidRDefault="003735D0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647BC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59" w:type="dxa"/>
          </w:tcPr>
          <w:p w:rsidR="003735D0" w:rsidRPr="002E7833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1560" w:type="dxa"/>
          </w:tcPr>
          <w:p w:rsidR="003735D0" w:rsidRPr="002E7833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0E3BE5" w:rsidRDefault="003735D0" w:rsidP="002E78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szCs w:val="22"/>
              </w:rPr>
              <w:t>4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в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992" w:type="dxa"/>
          </w:tcPr>
          <w:p w:rsidR="003735D0" w:rsidRPr="007543DB" w:rsidRDefault="00747CF5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543DB">
              <w:rPr>
                <w:rFonts w:cs="Times New Roman"/>
                <w:sz w:val="22"/>
                <w:szCs w:val="22"/>
              </w:rPr>
              <w:t>17,0</w:t>
            </w:r>
          </w:p>
          <w:p w:rsidR="003735D0" w:rsidRPr="00747CF5" w:rsidRDefault="003735D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A61B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153" w:rsidRPr="007543DB">
              <w:rPr>
                <w:rFonts w:ascii="Times New Roman" w:hAnsi="Times New Roman" w:cs="Times New Roman"/>
                <w:szCs w:val="22"/>
              </w:rPr>
              <w:t>5</w:t>
            </w:r>
            <w:proofErr w:type="gramEnd"/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населения муниципального образования Московской области,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7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99 ,0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747CF5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808" w:type="dxa"/>
          </w:tcPr>
          <w:p w:rsidR="003735D0" w:rsidRPr="001E4A80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6777F6" w:rsidRDefault="003C17AC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3735D0" w:rsidRPr="004B3B84" w:rsidRDefault="00647BCD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lastRenderedPageBreak/>
              <w:t>населения, принявшего участия в испытаниях (тестах)</w:t>
            </w:r>
          </w:p>
        </w:tc>
        <w:tc>
          <w:tcPr>
            <w:tcW w:w="1559" w:type="dxa"/>
          </w:tcPr>
          <w:p w:rsidR="003735D0" w:rsidRPr="006777F6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6777F6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D948B4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6777F6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647BCD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  <w:p w:rsidR="00DE4030" w:rsidRPr="006777F6" w:rsidRDefault="00DE403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17AC" w:rsidRPr="0056728D" w:rsidTr="003735D0">
        <w:tc>
          <w:tcPr>
            <w:tcW w:w="568" w:type="dxa"/>
          </w:tcPr>
          <w:p w:rsidR="003C17AC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3C17AC" w:rsidRPr="00647BCD" w:rsidRDefault="003C17AC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9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242DB6">
              <w:rPr>
                <w:rFonts w:ascii="Times New Roman" w:hAnsi="Times New Roman" w:cs="Times New Roman"/>
                <w:szCs w:val="22"/>
              </w:rPr>
              <w:t>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3C17AC" w:rsidRPr="006777F6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C17AC" w:rsidRDefault="00B80049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3C17AC" w:rsidRPr="00DE4030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5628" w:rsidRPr="0056728D" w:rsidTr="003735D0">
        <w:tc>
          <w:tcPr>
            <w:tcW w:w="568" w:type="dxa"/>
          </w:tcPr>
          <w:p w:rsidR="00875628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75628" w:rsidRPr="00647BCD" w:rsidRDefault="00875628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–Доступные спортивные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59" w:type="dxa"/>
          </w:tcPr>
          <w:p w:rsidR="00875628" w:rsidRPr="006777F6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</w:t>
            </w:r>
            <w:r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560" w:type="dxa"/>
          </w:tcPr>
          <w:p w:rsidR="00875628" w:rsidRDefault="003C17AC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567D92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992" w:type="dxa"/>
          </w:tcPr>
          <w:p w:rsidR="00875628" w:rsidRPr="003053A9" w:rsidRDefault="00D367F5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875628" w:rsidRPr="00DE4030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4052F0" w:rsidRPr="0056728D" w:rsidTr="003735D0">
        <w:tc>
          <w:tcPr>
            <w:tcW w:w="568" w:type="dxa"/>
          </w:tcPr>
          <w:p w:rsidR="004052F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177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4052F0" w:rsidRDefault="004052F0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B80049" w:rsidRPr="007543D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052F0" w:rsidRDefault="004052F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4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993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992" w:type="dxa"/>
          </w:tcPr>
          <w:p w:rsidR="004052F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08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68" w:type="dxa"/>
          </w:tcPr>
          <w:p w:rsidR="00B177A1" w:rsidRDefault="00B177A1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559" w:type="dxa"/>
          </w:tcPr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268" w:type="dxa"/>
          </w:tcPr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B177A1" w:rsidRPr="006777F6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0E3BE5">
        <w:trPr>
          <w:trHeight w:val="3008"/>
        </w:trPr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242DB6" w:rsidRDefault="00B80049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</w:t>
            </w:r>
            <w:proofErr w:type="gramStart"/>
            <w:r w:rsidR="003735D0" w:rsidRPr="00242DB6">
              <w:rPr>
                <w:rFonts w:ascii="Times New Roman" w:hAnsi="Times New Roman" w:cs="Times New Roman"/>
                <w:szCs w:val="22"/>
              </w:rPr>
              <w:t>ремонта  или</w:t>
            </w:r>
            <w:proofErr w:type="gramEnd"/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 технического переоснащения оборудованием 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735D0" w:rsidRPr="001E4A80" w:rsidRDefault="00D948B4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08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242DB6" w:rsidRDefault="00B80049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560" w:type="dxa"/>
          </w:tcPr>
          <w:p w:rsidR="003735D0" w:rsidRPr="001E4A80" w:rsidRDefault="003735D0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2B68C3" w:rsidRPr="001E4A80" w:rsidRDefault="002B68C3" w:rsidP="00754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567D92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3765CC">
        <w:tc>
          <w:tcPr>
            <w:tcW w:w="15417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BC65E4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3735D0" w:rsidRPr="001E4A80" w:rsidRDefault="00B80049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FB7F26" w:rsidRPr="007543DB">
              <w:rPr>
                <w:rFonts w:ascii="Times New Roman" w:hAnsi="Times New Roman" w:cs="Times New Roman"/>
                <w:szCs w:val="22"/>
              </w:rPr>
              <w:t>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BC65E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08" w:type="dxa"/>
          </w:tcPr>
          <w:p w:rsidR="003735D0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487385" w:rsidRPr="004B3B84" w:rsidRDefault="00BC65E4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</w:t>
            </w:r>
            <w:proofErr w:type="gramStart"/>
            <w:r w:rsidR="00487385" w:rsidRPr="004B3B84">
              <w:rPr>
                <w:rFonts w:ascii="Times New Roman" w:hAnsi="Times New Roman" w:cs="Times New Roman"/>
                <w:szCs w:val="22"/>
              </w:rPr>
              <w:t>области,  в</w:t>
            </w:r>
            <w:proofErr w:type="gramEnd"/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487385" w:rsidRPr="001E4A80" w:rsidRDefault="0048738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2"/>
              </w:rPr>
              <w:t>Р5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23134A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487385" w:rsidRPr="004B3B84" w:rsidRDefault="00BC65E4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559" w:type="dxa"/>
          </w:tcPr>
          <w:p w:rsidR="00487385" w:rsidRPr="0023134A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23134A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 xml:space="preserve">процент </w:t>
            </w:r>
          </w:p>
        </w:tc>
        <w:tc>
          <w:tcPr>
            <w:tcW w:w="1559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937339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BC65E4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487385" w:rsidRPr="00FF78D2" w:rsidRDefault="0048738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487385" w:rsidRPr="00FF78D2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FF78D2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48,0</w:t>
            </w:r>
          </w:p>
          <w:p w:rsidR="00BC65E4" w:rsidRPr="00FF78D2" w:rsidRDefault="00BC65E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4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имеющих разряды и звания (от </w:t>
            </w:r>
            <w:r w:rsidR="00487385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487385">
              <w:rPr>
                <w:rFonts w:ascii="Times New Roman" w:hAnsi="Times New Roman" w:cs="Times New Roman"/>
                <w:szCs w:val="22"/>
              </w:rPr>
              <w:t>и</w:t>
            </w:r>
            <w:r w:rsidR="00487385">
              <w:rPr>
                <w:sz w:val="18"/>
                <w:szCs w:val="18"/>
              </w:rPr>
              <w:t xml:space="preserve"> </w:t>
            </w:r>
            <w:r w:rsidR="00487385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48738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4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3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268" w:type="dxa"/>
          </w:tcPr>
          <w:p w:rsidR="00487385" w:rsidRPr="004B3B84" w:rsidRDefault="00AB7CA1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5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>спортивной подготовки в нормативное состояние)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487385" w:rsidRPr="00014F57" w:rsidTr="00487385">
        <w:tc>
          <w:tcPr>
            <w:tcW w:w="568" w:type="dxa"/>
          </w:tcPr>
          <w:p w:rsidR="00487385" w:rsidRPr="00007AB9" w:rsidRDefault="00AB7CA1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95B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6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242DB6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487385" w:rsidRPr="001E4A80" w:rsidRDefault="00487385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D948B4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08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4252"/>
        <w:gridCol w:w="1418"/>
        <w:gridCol w:w="3921"/>
        <w:gridCol w:w="3657"/>
      </w:tblGrid>
      <w:tr w:rsidR="00AE7C71" w:rsidRPr="00520DCB" w:rsidTr="00D948B4">
        <w:trPr>
          <w:trHeight w:val="646"/>
          <w:jc w:val="center"/>
        </w:trPr>
        <w:tc>
          <w:tcPr>
            <w:tcW w:w="162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 xml:space="preserve">Наименование показателя </w:t>
            </w:r>
            <w:proofErr w:type="gramStart"/>
            <w:r w:rsidRPr="004B3B84">
              <w:rPr>
                <w:rFonts w:cs="Times New Roman"/>
              </w:rPr>
              <w:t>реализации  муниципальной</w:t>
            </w:r>
            <w:proofErr w:type="gramEnd"/>
            <w:r w:rsidRPr="004B3B84">
              <w:rPr>
                <w:rFonts w:cs="Times New Roman"/>
              </w:rPr>
              <w:t xml:space="preserve">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D948B4">
        <w:trPr>
          <w:trHeight w:val="242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D948B4">
        <w:trPr>
          <w:trHeight w:val="230"/>
          <w:jc w:val="center"/>
        </w:trPr>
        <w:tc>
          <w:tcPr>
            <w:tcW w:w="14872" w:type="dxa"/>
            <w:gridSpan w:val="5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D948B4">
        <w:trPr>
          <w:trHeight w:val="2521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4252" w:type="dxa"/>
          </w:tcPr>
          <w:p w:rsidR="00AE7C71" w:rsidRPr="00A25597" w:rsidRDefault="00AE7C71" w:rsidP="0094339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 1</w:t>
            </w:r>
            <w:r w:rsidR="00E95B0C" w:rsidRPr="007543DB">
              <w:rPr>
                <w:rFonts w:cs="Times New Roman"/>
                <w:sz w:val="22"/>
                <w:szCs w:val="22"/>
              </w:rPr>
              <w:t xml:space="preserve"> 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</w:t>
            </w:r>
            <w:proofErr w:type="gramStart"/>
            <w:r w:rsidRPr="00A25597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области, систематически занимающихся физической культурой и спортом</w:t>
            </w:r>
            <w:r w:rsidR="00943391">
              <w:rPr>
                <w:rFonts w:cs="Times New Roman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>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Московской области в возрасте 3-79 лет, имеющего противопоказания и </w:t>
            </w:r>
            <w:proofErr w:type="gramStart"/>
            <w:r w:rsidRPr="00AE7C71">
              <w:rPr>
                <w:rFonts w:cs="Times New Roman"/>
                <w:sz w:val="22"/>
                <w:szCs w:val="22"/>
              </w:rPr>
              <w:t>ограничения для занятий физической культуры</w:t>
            </w:r>
            <w:proofErr w:type="gramEnd"/>
            <w:r w:rsidRPr="00AE7C71">
              <w:rPr>
                <w:rFonts w:cs="Times New Roman"/>
                <w:sz w:val="22"/>
                <w:szCs w:val="22"/>
              </w:rPr>
              <w:t xml:space="preserve"> и спорта</w:t>
            </w:r>
          </w:p>
        </w:tc>
        <w:tc>
          <w:tcPr>
            <w:tcW w:w="3657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1136E2" w:rsidP="001136E2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Макропоказатель 2 Подпрограммы </w:t>
            </w:r>
            <w:r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94339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="00943391" w:rsidRPr="007543DB">
              <w:rPr>
                <w:rFonts w:cs="Times New Roman"/>
                <w:sz w:val="22"/>
                <w:szCs w:val="22"/>
              </w:rPr>
              <w:t>3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5D5E5C" w:rsidRPr="007543DB">
              <w:rPr>
                <w:rFonts w:cs="Times New Roman"/>
                <w:sz w:val="22"/>
                <w:szCs w:val="22"/>
              </w:rPr>
              <w:t>4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5D5E5C" w:rsidRPr="007543DB">
              <w:rPr>
                <w:rFonts w:cs="Times New Roman"/>
                <w:sz w:val="22"/>
                <w:szCs w:val="22"/>
              </w:rPr>
              <w:t>5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656148" w:rsidRPr="007543DB">
              <w:rPr>
                <w:rFonts w:cs="Times New Roman"/>
                <w:sz w:val="22"/>
                <w:szCs w:val="22"/>
              </w:rPr>
              <w:t>6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895AD6" w:rsidRPr="00895AD6">
              <w:rPr>
                <w:rFonts w:cs="Times New Roman"/>
                <w:sz w:val="22"/>
                <w:szCs w:val="22"/>
              </w:rPr>
              <w:t xml:space="preserve"> </w:t>
            </w:r>
            <w:r w:rsidR="00895AD6" w:rsidRPr="007543DB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 </w:t>
            </w:r>
            <w:r w:rsidR="00895AD6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Уз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252" w:type="dxa"/>
          </w:tcPr>
          <w:p w:rsidR="00B21759" w:rsidRPr="001E4A80" w:rsidRDefault="00B21759" w:rsidP="00B217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proofErr w:type="gramStart"/>
            <w:r w:rsidRPr="007543DB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25597">
              <w:rPr>
                <w:rFonts w:ascii="Times New Roman" w:hAnsi="Times New Roman" w:cs="Times New Roman"/>
                <w:szCs w:val="22"/>
              </w:rPr>
              <w:t>Доля</w:t>
            </w:r>
            <w:proofErr w:type="gramEnd"/>
            <w:r w:rsidRPr="00A25597">
              <w:rPr>
                <w:rFonts w:ascii="Times New Roman" w:hAnsi="Times New Roman" w:cs="Times New Roman"/>
                <w:szCs w:val="22"/>
              </w:rPr>
              <w:t xml:space="preserve"> жителей муниципального образования Московской области, выполнивших нормативы </w:t>
            </w:r>
            <w:r w:rsidRPr="00A25597">
              <w:rPr>
                <w:rFonts w:ascii="Times New Roman" w:hAnsi="Times New Roman" w:cs="Times New Roman"/>
                <w:szCs w:val="22"/>
              </w:rPr>
              <w:lastRenderedPageBreak/>
              <w:t>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B21759" w:rsidRPr="001E4A80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657" w:type="dxa"/>
          </w:tcPr>
          <w:p w:rsidR="00B21759" w:rsidRPr="001E4A80" w:rsidRDefault="00B21759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2F3C0E" w:rsidRPr="00520DCB" w:rsidTr="00D948B4">
        <w:trPr>
          <w:trHeight w:val="123"/>
          <w:jc w:val="center"/>
        </w:trPr>
        <w:tc>
          <w:tcPr>
            <w:tcW w:w="1624" w:type="dxa"/>
          </w:tcPr>
          <w:p w:rsidR="002F3C0E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4252" w:type="dxa"/>
          </w:tcPr>
          <w:p w:rsidR="002F3C0E" w:rsidRPr="001E4A80" w:rsidRDefault="002F3C0E" w:rsidP="002F3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Макропоказатель 9 </w:t>
            </w: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2F3C0E" w:rsidRPr="001E4A80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2F3C0E" w:rsidRPr="001E4A80" w:rsidRDefault="002F3C0E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252" w:type="dxa"/>
          </w:tcPr>
          <w:p w:rsidR="00B21759" w:rsidRPr="00943391" w:rsidRDefault="00B21759" w:rsidP="00E9596B">
            <w:pPr>
              <w:widowControl w:val="0"/>
              <w:suppressAutoHyphens/>
              <w:rPr>
                <w:rFonts w:cs="Times New Roman"/>
              </w:rPr>
            </w:pPr>
            <w:proofErr w:type="gramStart"/>
            <w:r w:rsidRPr="00943391">
              <w:rPr>
                <w:rFonts w:cs="Times New Roman"/>
                <w:sz w:val="22"/>
                <w:szCs w:val="22"/>
              </w:rPr>
              <w:t>Макропоказатель  -</w:t>
            </w:r>
            <w:proofErr w:type="gramEnd"/>
            <w:r w:rsidRPr="00943391">
              <w:rPr>
                <w:rFonts w:cs="Times New Roman"/>
                <w:sz w:val="22"/>
                <w:szCs w:val="22"/>
              </w:rPr>
              <w:t xml:space="preserve">Доступные спортивные площадки. Доля спортивных площадок, управляемых в соответствии со стандартом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их использования</w:t>
            </w:r>
          </w:p>
        </w:tc>
        <w:tc>
          <w:tcPr>
            <w:tcW w:w="1418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943391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В соответствии с приказом министра физической культуры и спорта Московской области от 27.01.2021 №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23-6-П</w:t>
            </w:r>
          </w:p>
        </w:tc>
        <w:tc>
          <w:tcPr>
            <w:tcW w:w="3657" w:type="dxa"/>
          </w:tcPr>
          <w:p w:rsidR="00B21759" w:rsidRPr="00943391" w:rsidRDefault="00B21759" w:rsidP="00F4405B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B2175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320C5" w:rsidP="00513B65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Целевой показатель 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</w:t>
            </w:r>
            <w:proofErr w:type="gramEnd"/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принявших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</w:t>
            </w:r>
            <w:proofErr w:type="gramEnd"/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21759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320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="00AE7C71"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B320C5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</w:t>
            </w:r>
            <w:r w:rsidR="00B21759" w:rsidRPr="007543DB">
              <w:rPr>
                <w:rFonts w:cs="Times New Roman"/>
                <w:sz w:val="22"/>
                <w:szCs w:val="22"/>
              </w:rPr>
              <w:t>елевой показатель 6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Ку =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воркаут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</w:t>
            </w:r>
            <w:proofErr w:type="spellStart"/>
            <w:proofErr w:type="gramStart"/>
            <w:r w:rsidRPr="00A25597">
              <w:rPr>
                <w:rFonts w:cs="Times New Roman"/>
                <w:sz w:val="22"/>
                <w:szCs w:val="22"/>
              </w:rPr>
              <w:t>скейт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-парков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в муниципальных образованиях Московской области</w:t>
            </w: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4872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657" w:type="dxa"/>
          </w:tcPr>
          <w:p w:rsidR="00AE7C71" w:rsidRPr="001E4A80" w:rsidRDefault="00AE7C71" w:rsidP="00E9596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>по форме № 5-ФК</w:t>
            </w:r>
            <w:r w:rsidR="00CE1F71" w:rsidRPr="00422E41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CE1F71" w:rsidRPr="00BE63FA">
              <w:rPr>
                <w:rFonts w:cs="Times New Roman"/>
                <w:sz w:val="18"/>
                <w:szCs w:val="18"/>
              </w:rPr>
              <w:t xml:space="preserve">(утверждена приказом Росстата </w:t>
            </w:r>
            <w:r w:rsidR="00CE1F71" w:rsidRPr="00BE63FA">
              <w:rPr>
                <w:sz w:val="18"/>
                <w:szCs w:val="18"/>
              </w:rPr>
              <w:t xml:space="preserve">от 26.08.2021 № 520 «Об утверждении формы федерального </w:t>
            </w:r>
            <w:r w:rsidR="00CE1F71" w:rsidRPr="00BE63FA">
              <w:rPr>
                <w:sz w:val="18"/>
                <w:szCs w:val="18"/>
              </w:rPr>
              <w:lastRenderedPageBreak/>
              <w:t>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C63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</w:t>
            </w:r>
            <w:proofErr w:type="gramStart"/>
            <w:r w:rsidR="00AE7C71" w:rsidRPr="001E4A80">
              <w:rPr>
                <w:rFonts w:ascii="Times New Roman" w:hAnsi="Times New Roman" w:cs="Times New Roman"/>
                <w:szCs w:val="22"/>
              </w:rPr>
              <w:t>области,</w:t>
            </w:r>
            <w:r w:rsidR="00AE7C71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</w:t>
            </w:r>
            <w:r w:rsidR="009E23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657" w:type="dxa"/>
          </w:tcPr>
          <w:p w:rsidR="00AE7C71" w:rsidRPr="00937339" w:rsidRDefault="00AE7C71" w:rsidP="00975799">
            <w:pPr>
              <w:rPr>
                <w:rFonts w:cs="Times New Roman"/>
              </w:rPr>
            </w:pPr>
            <w:r w:rsidRPr="00937339">
              <w:rPr>
                <w:rFonts w:cs="Times New Roman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9E23AE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9E23AE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937339">
              <w:rPr>
                <w:rFonts w:cs="Times New Roman"/>
                <w:sz w:val="22"/>
                <w:szCs w:val="22"/>
              </w:rPr>
              <w:t xml:space="preserve"> </w:t>
            </w:r>
            <w:r w:rsidRPr="0074667C">
              <w:rPr>
                <w:rFonts w:cs="Times New Roman"/>
                <w:sz w:val="22"/>
                <w:szCs w:val="22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Pr="00520DCB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657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422E41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422E41" w:rsidRPr="007543DB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14EFD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D14EFD">
              <w:rPr>
                <w:rFonts w:ascii="Times New Roman" w:hAnsi="Times New Roman" w:cs="Times New Roman"/>
                <w:szCs w:val="22"/>
              </w:rPr>
              <w:t xml:space="preserve"> = Ср / </w:t>
            </w:r>
            <w:proofErr w:type="gramStart"/>
            <w:r w:rsidRPr="00D14EFD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D14EFD">
              <w:rPr>
                <w:rFonts w:ascii="Times New Roman" w:hAnsi="Times New Roman" w:cs="Times New Roman"/>
                <w:szCs w:val="22"/>
              </w:rPr>
              <w:t xml:space="preserve"> x 100, где: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14EFD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D14EFD">
              <w:rPr>
                <w:rFonts w:ascii="Times New Roman" w:hAnsi="Times New Roman" w:cs="Times New Roman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 xml:space="preserve">школ олимпийского резерва </w:t>
            </w:r>
          </w:p>
        </w:tc>
        <w:tc>
          <w:tcPr>
            <w:tcW w:w="3657" w:type="dxa"/>
          </w:tcPr>
          <w:p w:rsidR="00AE7C71" w:rsidRPr="00D14EFD" w:rsidRDefault="00AE7C71" w:rsidP="00D14E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Ежегодное государственное статистическое наблюдение, форма № 5-ФК (утверждена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приказом Росстата от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26.08.2021</w:t>
            </w:r>
            <w:r w:rsidRPr="007543DB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520</w:t>
            </w:r>
            <w:r w:rsidRPr="00D14EFD">
              <w:rPr>
                <w:rFonts w:ascii="Times New Roman" w:hAnsi="Times New Roman" w:cs="Times New Roman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="00AE7C71"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AE7C71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AE7C71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657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DF01A3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DF01A3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AE7C71" w:rsidRPr="00FB4195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D14EFD" w:rsidP="0067031D">
            <w:pPr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657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3614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874DAF" w:rsidRDefault="00D14EFD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= (Кз1/ Кз2*</w:t>
            </w:r>
            <w:proofErr w:type="gramStart"/>
            <w:r w:rsidRPr="00874DAF">
              <w:rPr>
                <w:rFonts w:cs="Times New Roman"/>
                <w:sz w:val="22"/>
                <w:szCs w:val="22"/>
              </w:rPr>
              <w:t>100)-</w:t>
            </w:r>
            <w:proofErr w:type="gramEnd"/>
            <w:r w:rsidRPr="00874DAF">
              <w:rPr>
                <w:rFonts w:cs="Times New Roman"/>
                <w:sz w:val="22"/>
                <w:szCs w:val="22"/>
              </w:rPr>
              <w:t>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8C404F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980F6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418"/>
        <w:gridCol w:w="1134"/>
        <w:gridCol w:w="1275"/>
        <w:gridCol w:w="1276"/>
        <w:gridCol w:w="1276"/>
        <w:gridCol w:w="1276"/>
        <w:gridCol w:w="1275"/>
        <w:gridCol w:w="2333"/>
      </w:tblGrid>
      <w:tr w:rsidR="00497BE3" w:rsidRPr="002618A2" w:rsidTr="00BF7D57">
        <w:tc>
          <w:tcPr>
            <w:tcW w:w="3606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263" w:type="dxa"/>
            <w:gridSpan w:val="8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F7D57" w:rsidRPr="002618A2" w:rsidTr="0012349E">
        <w:tc>
          <w:tcPr>
            <w:tcW w:w="3606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</w:tcPr>
          <w:p w:rsidR="00BF7D57" w:rsidRPr="002618A2" w:rsidRDefault="00BF7D57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BF7D57" w:rsidRPr="00BF7D57" w:rsidRDefault="00BF7D57" w:rsidP="00274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D57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2333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>аспорядителя бюджетных средств</w:t>
            </w:r>
          </w:p>
        </w:tc>
      </w:tr>
      <w:tr w:rsidR="007879C4" w:rsidRPr="002618A2" w:rsidTr="007879C4">
        <w:trPr>
          <w:trHeight w:val="926"/>
        </w:trPr>
        <w:tc>
          <w:tcPr>
            <w:tcW w:w="3606" w:type="dxa"/>
          </w:tcPr>
          <w:p w:rsidR="007879C4" w:rsidRPr="002618A2" w:rsidRDefault="007879C4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7879C4" w:rsidRPr="00221A02" w:rsidRDefault="007879C4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2830A1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7879C4" w:rsidRPr="00D11737" w:rsidRDefault="007879C4" w:rsidP="00787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7879C4" w:rsidRPr="002618A2" w:rsidTr="0012349E">
        <w:tc>
          <w:tcPr>
            <w:tcW w:w="3606" w:type="dxa"/>
          </w:tcPr>
          <w:p w:rsidR="007879C4" w:rsidRPr="002618A2" w:rsidRDefault="007879C4" w:rsidP="007E162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7879C4" w:rsidRPr="00221A02" w:rsidRDefault="007879C4" w:rsidP="007E1622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2830A1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7E1622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7879C4" w:rsidRPr="00D11737" w:rsidRDefault="007879C4" w:rsidP="007E16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79C4" w:rsidRPr="002618A2" w:rsidTr="0012349E">
        <w:tc>
          <w:tcPr>
            <w:tcW w:w="3606" w:type="dxa"/>
          </w:tcPr>
          <w:p w:rsidR="007879C4" w:rsidRPr="002618A2" w:rsidRDefault="007879C4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7879C4" w:rsidRPr="00AE7C71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3A6559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3A6559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6D39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  <w:rPr>
                <w:rFonts w:cs="Times New Roman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CF348C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2A50D2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7879C4" w:rsidRPr="00221A02" w:rsidRDefault="007879C4" w:rsidP="00E573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AE7C71" w:rsidRDefault="007879C4" w:rsidP="00E573A5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7879C4" w:rsidRPr="002618A2" w:rsidRDefault="007879C4" w:rsidP="00E5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7E162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7879C4" w:rsidRPr="00221A02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AE7C71" w:rsidRDefault="007879C4" w:rsidP="007E1622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7879C4" w:rsidRPr="002618A2" w:rsidRDefault="007879C4" w:rsidP="007E1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72426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242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72426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242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D948B4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D948B4" w:rsidRDefault="007879C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879C4" w:rsidRPr="00D948B4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D948B4" w:rsidRDefault="007879C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879C4" w:rsidRPr="00D948B4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D948B4" w:rsidRDefault="007879C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5.Обеспечение деятельности подведомственных муниципальных автономных и бюджетных учреждений </w:t>
      </w:r>
      <w:proofErr w:type="gramStart"/>
      <w:r w:rsidRPr="00551B1F">
        <w:rPr>
          <w:rFonts w:cs="Times New Roman"/>
        </w:rPr>
        <w:t>городского  округа</w:t>
      </w:r>
      <w:proofErr w:type="gramEnd"/>
      <w:r w:rsidRPr="00551B1F">
        <w:rPr>
          <w:rFonts w:cs="Times New Roman"/>
        </w:rPr>
        <w:t xml:space="preserve">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повышение результативности выступления спортсменов городского округа Электросталь в соревнованиях Московской </w:t>
      </w:r>
      <w:proofErr w:type="gramStart"/>
      <w:r w:rsidRPr="00551B1F">
        <w:rPr>
          <w:rFonts w:cs="Times New Roman"/>
        </w:rPr>
        <w:t>области,  на</w:t>
      </w:r>
      <w:proofErr w:type="gramEnd"/>
      <w:r w:rsidRPr="00551B1F">
        <w:rPr>
          <w:rFonts w:cs="Times New Roman"/>
        </w:rPr>
        <w:t xml:space="preserve">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увеличение </w:t>
      </w:r>
      <w:proofErr w:type="gramStart"/>
      <w:r w:rsidRPr="00551B1F">
        <w:rPr>
          <w:rFonts w:cs="Times New Roman"/>
        </w:rPr>
        <w:t>количества  жителей</w:t>
      </w:r>
      <w:proofErr w:type="gramEnd"/>
      <w:r w:rsidRPr="00551B1F">
        <w:rPr>
          <w:rFonts w:cs="Times New Roman"/>
        </w:rPr>
        <w:t xml:space="preserve">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  <w:r w:rsidR="00E921C3">
        <w:rPr>
          <w:rFonts w:cs="Times New Roman"/>
        </w:rPr>
        <w:t>,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Приобретение </w:t>
      </w:r>
      <w:proofErr w:type="spellStart"/>
      <w:r w:rsidRPr="00551B1F">
        <w:rPr>
          <w:rFonts w:cs="Times New Roman"/>
        </w:rPr>
        <w:t>ледозаливочной</w:t>
      </w:r>
      <w:proofErr w:type="spellEnd"/>
      <w:r w:rsidRPr="00551B1F">
        <w:rPr>
          <w:rFonts w:cs="Times New Roman"/>
        </w:rPr>
        <w:t xml:space="preserve">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</w:t>
      </w:r>
      <w:proofErr w:type="spellStart"/>
      <w:r w:rsidR="00124D23">
        <w:rPr>
          <w:rFonts w:cs="Times New Roman"/>
          <w:lang w:eastAsia="ar-SA"/>
        </w:rPr>
        <w:t>Воркаут</w:t>
      </w:r>
      <w:proofErr w:type="spellEnd"/>
      <w:r w:rsidR="00124D23">
        <w:rPr>
          <w:rFonts w:cs="Times New Roman"/>
          <w:lang w:eastAsia="ar-SA"/>
        </w:rPr>
        <w:t>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1418"/>
        <w:gridCol w:w="1134"/>
        <w:gridCol w:w="1134"/>
        <w:gridCol w:w="992"/>
        <w:gridCol w:w="992"/>
        <w:gridCol w:w="992"/>
        <w:gridCol w:w="1134"/>
        <w:gridCol w:w="1134"/>
        <w:gridCol w:w="1560"/>
        <w:gridCol w:w="1417"/>
      </w:tblGrid>
      <w:tr w:rsidR="004B3B84" w:rsidRPr="00551B1F" w:rsidTr="002741EE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8" w:type="dxa"/>
            <w:gridSpan w:val="6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741EE" w:rsidRPr="00551B1F" w:rsidTr="002741EE">
        <w:tc>
          <w:tcPr>
            <w:tcW w:w="851" w:type="dxa"/>
            <w:vMerge/>
          </w:tcPr>
          <w:p w:rsidR="002741EE" w:rsidRPr="00551B1F" w:rsidRDefault="002741E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9BC" w:rsidRDefault="002741EE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41EE" w:rsidRPr="00551B1F" w:rsidRDefault="00B23C34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="002741EE"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41EE" w:rsidRPr="00551B1F" w:rsidRDefault="002741EE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741EE" w:rsidRPr="00551B1F" w:rsidTr="002741EE">
        <w:tc>
          <w:tcPr>
            <w:tcW w:w="851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0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E1622" w:rsidRPr="00551B1F" w:rsidTr="002741EE">
        <w:tc>
          <w:tcPr>
            <w:tcW w:w="851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850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7E1622" w:rsidRPr="00221A02" w:rsidRDefault="00985C97" w:rsidP="007E16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7E1622" w:rsidRPr="00C32217" w:rsidRDefault="00940369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985C97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</w:tcPr>
          <w:p w:rsidR="007E1622" w:rsidRPr="00AE7C71" w:rsidRDefault="007E1622" w:rsidP="007E1622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134" w:type="dxa"/>
          </w:tcPr>
          <w:p w:rsidR="007E1622" w:rsidRPr="00AE7C71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E1622" w:rsidRPr="00551B1F" w:rsidTr="002741EE">
        <w:tc>
          <w:tcPr>
            <w:tcW w:w="851" w:type="dxa"/>
            <w:vMerge/>
          </w:tcPr>
          <w:p w:rsidR="007E1622" w:rsidRPr="00551B1F" w:rsidRDefault="007E1622" w:rsidP="007E16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E1622" w:rsidRPr="00221A02" w:rsidRDefault="00985C97" w:rsidP="007E16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7E1622" w:rsidRPr="00C32217" w:rsidRDefault="00940369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985C97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</w:tcPr>
          <w:p w:rsidR="007E1622" w:rsidRPr="00AE7C71" w:rsidRDefault="007E1622" w:rsidP="007E1622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134" w:type="dxa"/>
          </w:tcPr>
          <w:p w:rsidR="007E1622" w:rsidRPr="00AE7C71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1622" w:rsidRPr="00551B1F" w:rsidTr="002741EE">
        <w:tc>
          <w:tcPr>
            <w:tcW w:w="851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7E1622" w:rsidRPr="00551B1F" w:rsidRDefault="007E1622" w:rsidP="007E16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х учреждений в области физической культуры и спорта</w:t>
            </w:r>
          </w:p>
        </w:tc>
        <w:tc>
          <w:tcPr>
            <w:tcW w:w="850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7E1622" w:rsidRPr="006A01F3" w:rsidRDefault="00796E8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517 517,3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7E1622" w:rsidRDefault="00796E82" w:rsidP="007E1622">
            <w:r>
              <w:rPr>
                <w:rFonts w:cs="Times New Roman"/>
                <w:sz w:val="20"/>
              </w:rPr>
              <w:t>105568,0</w:t>
            </w:r>
          </w:p>
        </w:tc>
        <w:tc>
          <w:tcPr>
            <w:tcW w:w="992" w:type="dxa"/>
          </w:tcPr>
          <w:p w:rsidR="007E1622" w:rsidRDefault="007E1622" w:rsidP="007E1622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7E1622" w:rsidRPr="00E573A5" w:rsidRDefault="007E1622" w:rsidP="007E1622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физкультурных, спортивных и массовых мероприятий  </w:t>
            </w:r>
          </w:p>
        </w:tc>
      </w:tr>
      <w:tr w:rsidR="007E1622" w:rsidRPr="00551B1F" w:rsidTr="002741EE">
        <w:tc>
          <w:tcPr>
            <w:tcW w:w="851" w:type="dxa"/>
            <w:vMerge/>
          </w:tcPr>
          <w:p w:rsidR="007E1622" w:rsidRPr="00551B1F" w:rsidRDefault="007E1622" w:rsidP="007E16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E1622" w:rsidRPr="006A01F3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517 517,3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7E1622" w:rsidRDefault="00796E82" w:rsidP="007E1622">
            <w:r>
              <w:rPr>
                <w:rFonts w:cs="Times New Roman"/>
                <w:sz w:val="20"/>
              </w:rPr>
              <w:t>105568,0</w:t>
            </w:r>
          </w:p>
        </w:tc>
        <w:tc>
          <w:tcPr>
            <w:tcW w:w="992" w:type="dxa"/>
          </w:tcPr>
          <w:p w:rsidR="007E1622" w:rsidRDefault="007E1622" w:rsidP="007E1622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7E1622" w:rsidRPr="002741EE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41EE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79" w:rsidRPr="00551B1F" w:rsidTr="000A667B">
        <w:tc>
          <w:tcPr>
            <w:tcW w:w="851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850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82E79" w:rsidRPr="006A01F3" w:rsidRDefault="007C64B3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511 732,6</w:t>
            </w:r>
          </w:p>
        </w:tc>
        <w:tc>
          <w:tcPr>
            <w:tcW w:w="1134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182E79" w:rsidRPr="003A6559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C01085" w:rsidP="007C6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7C64B3">
              <w:rPr>
                <w:sz w:val="20"/>
                <w:szCs w:val="20"/>
              </w:rPr>
              <w:t>568</w:t>
            </w:r>
            <w:r w:rsidR="00182E79" w:rsidRPr="00182E7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E573A5" w:rsidRDefault="00182E79" w:rsidP="00736182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182E79" w:rsidRPr="00551B1F" w:rsidRDefault="00182E79" w:rsidP="00182E79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182E79" w:rsidRPr="00551B1F" w:rsidTr="000A667B">
        <w:tc>
          <w:tcPr>
            <w:tcW w:w="851" w:type="dxa"/>
            <w:vMerge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82E79" w:rsidRPr="006A01F3" w:rsidRDefault="007C64B3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511 732,6</w:t>
            </w:r>
          </w:p>
        </w:tc>
        <w:tc>
          <w:tcPr>
            <w:tcW w:w="1134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C01085" w:rsidP="007C6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  <w:r w:rsidR="007C64B3">
              <w:rPr>
                <w:sz w:val="20"/>
                <w:szCs w:val="20"/>
              </w:rPr>
              <w:t>68</w:t>
            </w:r>
            <w:r w:rsidR="00182E79" w:rsidRPr="00182E7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B23C34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rPr>
          <w:trHeight w:val="196"/>
        </w:trPr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79" w:rsidRPr="00551B1F" w:rsidTr="000A667B">
        <w:tc>
          <w:tcPr>
            <w:tcW w:w="851" w:type="dxa"/>
            <w:vMerge w:val="restart"/>
          </w:tcPr>
          <w:p w:rsidR="00182E79" w:rsidRPr="00551B1F" w:rsidRDefault="00182E79" w:rsidP="00182E79">
            <w:pPr>
              <w:tabs>
                <w:tab w:val="center" w:pos="36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</w:tcPr>
          <w:p w:rsidR="00182E79" w:rsidRPr="00551B1F" w:rsidRDefault="00182E79" w:rsidP="00182E79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182E79" w:rsidRPr="00551B1F" w:rsidRDefault="00182E79" w:rsidP="00182E79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182E79" w:rsidRPr="006A01F3" w:rsidRDefault="007C64B3" w:rsidP="00182E79">
            <w:r>
              <w:rPr>
                <w:rFonts w:cs="Times New Roman"/>
                <w:sz w:val="20"/>
              </w:rPr>
              <w:t>509 227,5</w:t>
            </w:r>
          </w:p>
        </w:tc>
        <w:tc>
          <w:tcPr>
            <w:tcW w:w="1134" w:type="dxa"/>
          </w:tcPr>
          <w:p w:rsidR="00182E79" w:rsidRPr="00642D18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182E79" w:rsidRPr="003A6559" w:rsidRDefault="00182E79" w:rsidP="00182E79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7C64B3" w:rsidP="00182E79">
            <w:pPr>
              <w:rPr>
                <w:sz w:val="20"/>
                <w:szCs w:val="20"/>
              </w:rPr>
            </w:pPr>
            <w:r w:rsidRPr="007C64B3">
              <w:rPr>
                <w:sz w:val="20"/>
                <w:szCs w:val="20"/>
              </w:rPr>
              <w:t>105568,0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E573A5" w:rsidRDefault="00182E79" w:rsidP="00182E79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182E79" w:rsidRPr="00551B1F" w:rsidRDefault="00182E79" w:rsidP="00182E79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мероприятий  </w:t>
            </w:r>
          </w:p>
        </w:tc>
      </w:tr>
      <w:tr w:rsidR="00182E79" w:rsidRPr="00551B1F" w:rsidTr="000A667B">
        <w:tc>
          <w:tcPr>
            <w:tcW w:w="851" w:type="dxa"/>
            <w:vMerge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82E79" w:rsidRPr="006A01F3" w:rsidRDefault="007C64B3" w:rsidP="00182E79">
            <w:r>
              <w:rPr>
                <w:rFonts w:cs="Times New Roman"/>
                <w:sz w:val="20"/>
              </w:rPr>
              <w:t>509 227,5</w:t>
            </w:r>
          </w:p>
        </w:tc>
        <w:tc>
          <w:tcPr>
            <w:tcW w:w="1134" w:type="dxa"/>
          </w:tcPr>
          <w:p w:rsidR="00182E79" w:rsidRPr="00642D18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182E79" w:rsidRPr="003A6559" w:rsidRDefault="00182E79" w:rsidP="00182E79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7C64B3" w:rsidP="00182E79">
            <w:pPr>
              <w:rPr>
                <w:sz w:val="20"/>
                <w:szCs w:val="20"/>
              </w:rPr>
            </w:pPr>
            <w:r w:rsidRPr="007C64B3">
              <w:rPr>
                <w:sz w:val="20"/>
                <w:szCs w:val="20"/>
              </w:rPr>
              <w:t>105568,0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B23C34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бюджета </w:t>
            </w:r>
            <w:r w:rsidRPr="00551B1F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rPr>
          <w:trHeight w:val="413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  <w:vAlign w:val="center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оздоровительный клуб </w:t>
            </w:r>
            <w:proofErr w:type="gramStart"/>
            <w:r>
              <w:rPr>
                <w:rFonts w:cs="Times New Roman"/>
                <w:sz w:val="20"/>
                <w:szCs w:val="20"/>
              </w:rPr>
              <w:t>инвалидов  г.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Электросталь»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B23C34" w:rsidRPr="00A72ED8" w:rsidRDefault="00B23C34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занятий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  <w:p w:rsidR="00B23C34" w:rsidRPr="007C1C87" w:rsidRDefault="00B23C34" w:rsidP="00642D18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B23C34" w:rsidRPr="009F765C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576A4F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vAlign w:val="center"/>
          </w:tcPr>
          <w:p w:rsidR="00B23C34" w:rsidRPr="00551B1F" w:rsidRDefault="00B23C34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9E5CAA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B23C34" w:rsidRDefault="00B23C34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занятий физической культурой и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 xml:space="preserve">территорий  </w:t>
            </w:r>
            <w:r>
              <w:rPr>
                <w:rFonts w:cs="Times New Roman"/>
                <w:sz w:val="20"/>
                <w:szCs w:val="20"/>
              </w:rPr>
              <w:t>объектов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спорта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</w:t>
            </w:r>
          </w:p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01.03 Организация и проведение официальных физкультурно-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оздоровительных  и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спортивных мероприятий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CC116B" w:rsidRDefault="00940369" w:rsidP="00D948B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3 484</w:t>
            </w:r>
            <w:r w:rsidR="0089171F">
              <w:rPr>
                <w:rFonts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C32217" w:rsidRDefault="00940369" w:rsidP="0089171F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848</w:t>
            </w:r>
            <w:r w:rsidR="00796E82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89171F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948B4" w:rsidRPr="00AE21A3" w:rsidRDefault="00CC116B" w:rsidP="00D948B4">
            <w:pPr>
              <w:jc w:val="center"/>
            </w:pPr>
            <w:r w:rsidRPr="00AE21A3"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551B1F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CC116B" w:rsidRDefault="00940369" w:rsidP="007C6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3 484</w:t>
            </w:r>
            <w:r w:rsidR="0089171F">
              <w:rPr>
                <w:rFonts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C32217" w:rsidRDefault="00940369" w:rsidP="0089171F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848</w:t>
            </w:r>
            <w:r w:rsidR="00796E82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89171F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948B4" w:rsidRPr="00AE21A3" w:rsidRDefault="00CC116B" w:rsidP="00D948B4">
            <w:pPr>
              <w:jc w:val="center"/>
            </w:pPr>
            <w:r w:rsidRPr="00AE21A3"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pStyle w:val="ConsPlusNormal"/>
              <w:jc w:val="center"/>
              <w:rPr>
                <w:rFonts w:cs="Times New Roman"/>
                <w:sz w:val="20"/>
                <w:highlight w:val="yellow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BA3658" w:rsidRDefault="00D948B4" w:rsidP="00D948B4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0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948B4" w:rsidRPr="00A12A1A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6D39A0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6C37A3">
        <w:trPr>
          <w:trHeight w:val="2002"/>
        </w:trPr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</w:t>
            </w:r>
            <w:r w:rsidRPr="00700D1C">
              <w:rPr>
                <w:rFonts w:cs="Times New Roman"/>
                <w:sz w:val="20"/>
                <w:szCs w:val="20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850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190217" w:rsidRDefault="0039322A" w:rsidP="006C37A3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39322A" w:rsidRDefault="0039322A" w:rsidP="006C37A3">
            <w:pPr>
              <w:jc w:val="center"/>
            </w:pPr>
            <w:r w:rsidRPr="0039322A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</w:t>
            </w:r>
            <w:r w:rsidRPr="001F4239">
              <w:rPr>
                <w:rFonts w:ascii="Times New Roman" w:hAnsi="Times New Roman" w:cs="Times New Roman"/>
                <w:sz w:val="20"/>
              </w:rPr>
              <w:lastRenderedPageBreak/>
              <w:t>х образований Московской области</w:t>
            </w: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190217" w:rsidRDefault="0039322A" w:rsidP="006C37A3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39322A" w:rsidRDefault="0039322A" w:rsidP="006C37A3">
            <w:pPr>
              <w:jc w:val="center"/>
            </w:pPr>
            <w:r w:rsidRPr="0039322A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755E02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A3658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 xml:space="preserve">2020-2025 </w:t>
            </w: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590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261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оборудованием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eastAsiaTheme="minorEastAsia" w:cs="Times New Roman"/>
                <w:sz w:val="20"/>
                <w:szCs w:val="20"/>
              </w:rPr>
              <w:lastRenderedPageBreak/>
              <w:t>2020-2025</w:t>
            </w:r>
          </w:p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745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238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E5CAA" w:rsidRPr="00551B1F" w:rsidRDefault="009E5CAA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418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</w:t>
            </w:r>
            <w:proofErr w:type="gramStart"/>
            <w:r w:rsidRPr="0040201A">
              <w:rPr>
                <w:rFonts w:cs="Times New Roman"/>
                <w:sz w:val="20"/>
                <w:szCs w:val="20"/>
              </w:rPr>
              <w:t>адресу:  п.</w:t>
            </w:r>
            <w:proofErr w:type="gramEnd"/>
            <w:r w:rsidRPr="0040201A">
              <w:rPr>
                <w:rFonts w:cs="Times New Roman"/>
                <w:sz w:val="20"/>
                <w:szCs w:val="20"/>
              </w:rPr>
              <w:t xml:space="preserve"> 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Елизаветино</w:t>
            </w:r>
          </w:p>
        </w:tc>
        <w:tc>
          <w:tcPr>
            <w:tcW w:w="850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  <w:proofErr w:type="spellStart"/>
            <w:r w:rsidRPr="0040201A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х образованиях Московской области</w:t>
            </w: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rPr>
          <w:trHeight w:val="64"/>
        </w:trPr>
        <w:tc>
          <w:tcPr>
            <w:tcW w:w="851" w:type="dxa"/>
            <w:vMerge/>
          </w:tcPr>
          <w:p w:rsidR="00EC44F3" w:rsidRPr="00551B1F" w:rsidRDefault="00EC44F3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6D39A0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9A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C32217" w:rsidRDefault="00572426" w:rsidP="00CC116B">
            <w:r>
              <w:rPr>
                <w:rFonts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C32217" w:rsidRDefault="00940369" w:rsidP="00891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796E82">
              <w:rPr>
                <w:rFonts w:ascii="Times New Roman" w:hAnsi="Times New Roman" w:cs="Times New Roman"/>
                <w:sz w:val="20"/>
              </w:rPr>
              <w:t>,</w:t>
            </w:r>
            <w:r w:rsidR="008917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C37A3" w:rsidRPr="00066071" w:rsidRDefault="00CC116B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6C37A3" w:rsidRPr="00572426" w:rsidRDefault="00572426" w:rsidP="00572426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6C37A3" w:rsidRPr="005519BC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C32217" w:rsidRDefault="00572426" w:rsidP="006C37A3">
            <w:r>
              <w:rPr>
                <w:rFonts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C32217" w:rsidRDefault="00940369" w:rsidP="007823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89171F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</w:tcPr>
          <w:p w:rsidR="006C37A3" w:rsidRPr="00066071" w:rsidRDefault="00CC116B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572426" w:rsidRPr="00E573A5" w:rsidRDefault="00572426" w:rsidP="00572426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  <w:p w:rsidR="006C37A3" w:rsidRPr="0039322A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8A1810" w:rsidRDefault="006D3A34" w:rsidP="00BE1E5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6D39A0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D948B4">
        <w:trPr>
          <w:trHeight w:val="20"/>
        </w:trPr>
        <w:tc>
          <w:tcPr>
            <w:tcW w:w="851" w:type="dxa"/>
            <w:vMerge/>
          </w:tcPr>
          <w:p w:rsidR="00EC44F3" w:rsidRPr="00551B1F" w:rsidRDefault="00EC44F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8D4686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551B1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418"/>
        <w:gridCol w:w="992"/>
        <w:gridCol w:w="1134"/>
        <w:gridCol w:w="1276"/>
        <w:gridCol w:w="1276"/>
        <w:gridCol w:w="1275"/>
        <w:gridCol w:w="1134"/>
        <w:gridCol w:w="2410"/>
      </w:tblGrid>
      <w:tr w:rsidR="001758CD" w:rsidRPr="002618A2" w:rsidTr="00EC44F3">
        <w:tc>
          <w:tcPr>
            <w:tcW w:w="4031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C44F3" w:rsidRPr="002618A2" w:rsidTr="002C4838">
        <w:trPr>
          <w:trHeight w:val="491"/>
        </w:trPr>
        <w:tc>
          <w:tcPr>
            <w:tcW w:w="4031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EC44F3" w:rsidRPr="002618A2" w:rsidRDefault="00EC44F3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  <w:p w:rsidR="00EC44F3" w:rsidRPr="00847731" w:rsidRDefault="00EC44F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C44F3" w:rsidRPr="002618A2" w:rsidRDefault="00EC44F3" w:rsidP="00EC44F3">
            <w:pPr>
              <w:jc w:val="center"/>
            </w:pPr>
            <w:r>
              <w:t>2025</w:t>
            </w:r>
            <w:r w:rsidRPr="002618A2">
              <w:t xml:space="preserve"> год</w:t>
            </w:r>
          </w:p>
          <w:p w:rsidR="00EC44F3" w:rsidRPr="002618A2" w:rsidRDefault="00EC44F3" w:rsidP="003D0FA1">
            <w:pPr>
              <w:jc w:val="center"/>
            </w:pPr>
          </w:p>
        </w:tc>
        <w:tc>
          <w:tcPr>
            <w:tcW w:w="2410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4779D0" w:rsidRPr="00D73C11" w:rsidRDefault="0089171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736 088,0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D62947" w:rsidRPr="006A01F3" w:rsidRDefault="001A60F3" w:rsidP="006F76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</w:t>
            </w:r>
            <w:r w:rsidR="0089171F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1,9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736182" w:rsidRDefault="00736182" w:rsidP="007361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D73C11" w:rsidRDefault="00D73C11" w:rsidP="00D73C1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 w:val="restart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D62947" w:rsidRPr="006A01F3" w:rsidRDefault="0089171F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733 893,3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D62947" w:rsidRPr="006A01F3" w:rsidRDefault="001A60F3" w:rsidP="006F76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</w:t>
            </w:r>
            <w:r w:rsidR="0089171F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</w:t>
            </w:r>
            <w:r w:rsidR="006F762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,</w:t>
            </w:r>
            <w:r w:rsidR="0089171F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315CD9">
              <w:rPr>
                <w:rFonts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D73C11" w:rsidRDefault="00D73C11" w:rsidP="00BE1E56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D73C11">
              <w:rPr>
                <w:rFonts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Реализация поставленных в </w:t>
      </w:r>
      <w:proofErr w:type="gramStart"/>
      <w:r w:rsidRPr="00551B1F">
        <w:rPr>
          <w:rFonts w:cs="Times New Roman"/>
        </w:rPr>
        <w:t>подпрограмме  мероприятий</w:t>
      </w:r>
      <w:proofErr w:type="gramEnd"/>
      <w:r w:rsidRPr="00551B1F">
        <w:rPr>
          <w:rFonts w:cs="Times New Roman"/>
        </w:rPr>
        <w:t xml:space="preserve">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увеличение количество </w:t>
      </w:r>
      <w:proofErr w:type="gramStart"/>
      <w:r w:rsidRPr="00551B1F">
        <w:rPr>
          <w:rFonts w:cs="Times New Roman"/>
        </w:rPr>
        <w:t>спортсменов  -</w:t>
      </w:r>
      <w:proofErr w:type="gramEnd"/>
      <w:r w:rsidRPr="00551B1F">
        <w:rPr>
          <w:rFonts w:cs="Times New Roman"/>
        </w:rPr>
        <w:t xml:space="preserve">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разработка администрациями спортивных школ программ и индивидуальных планов для спортсменов групп по развиваемым видам </w:t>
      </w:r>
      <w:proofErr w:type="gramStart"/>
      <w:r w:rsidRPr="00551B1F">
        <w:rPr>
          <w:rFonts w:cs="Times New Roman"/>
        </w:rPr>
        <w:t>спорта  на</w:t>
      </w:r>
      <w:proofErr w:type="gramEnd"/>
      <w:r w:rsidRPr="00551B1F">
        <w:rPr>
          <w:rFonts w:cs="Times New Roman"/>
        </w:rPr>
        <w:t xml:space="preserve">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работа со </w:t>
      </w:r>
      <w:proofErr w:type="gramStart"/>
      <w:r w:rsidRPr="00551B1F">
        <w:rPr>
          <w:rFonts w:cs="Times New Roman"/>
        </w:rPr>
        <w:t>спортсменами  в</w:t>
      </w:r>
      <w:proofErr w:type="gramEnd"/>
      <w:r w:rsidRPr="00551B1F">
        <w:rPr>
          <w:rFonts w:cs="Times New Roman"/>
        </w:rPr>
        <w:t xml:space="preserve">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в каникулярное </w:t>
      </w:r>
      <w:proofErr w:type="gramStart"/>
      <w:r w:rsidRPr="00551B1F">
        <w:rPr>
          <w:rFonts w:cs="Times New Roman"/>
        </w:rPr>
        <w:t>время  проведение</w:t>
      </w:r>
      <w:proofErr w:type="gramEnd"/>
      <w:r w:rsidRPr="00551B1F">
        <w:rPr>
          <w:rFonts w:cs="Times New Roman"/>
        </w:rPr>
        <w:t xml:space="preserve">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551B1F">
        <w:rPr>
          <w:rFonts w:cs="Times New Roman"/>
        </w:rPr>
        <w:t>спортсменов  и</w:t>
      </w:r>
      <w:proofErr w:type="gramEnd"/>
      <w:r w:rsidRPr="00551B1F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Реализации программ спортивной подготовки   спортсменов </w:t>
      </w:r>
      <w:proofErr w:type="spellStart"/>
      <w:r w:rsidRPr="00551B1F">
        <w:rPr>
          <w:rFonts w:cs="Times New Roman"/>
        </w:rPr>
        <w:t>физкультурно</w:t>
      </w:r>
      <w:proofErr w:type="spellEnd"/>
      <w:r w:rsidRPr="00551B1F">
        <w:rPr>
          <w:rFonts w:cs="Times New Roman"/>
        </w:rPr>
        <w:t>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Организации поиска и отбора детей с высоким уровнем </w:t>
      </w:r>
      <w:proofErr w:type="gramStart"/>
      <w:r w:rsidRPr="00551B1F">
        <w:rPr>
          <w:rFonts w:cs="Times New Roman"/>
        </w:rPr>
        <w:t>спортивных  способностей</w:t>
      </w:r>
      <w:proofErr w:type="gramEnd"/>
      <w:r w:rsidRPr="00551B1F">
        <w:rPr>
          <w:rFonts w:cs="Times New Roman"/>
        </w:rPr>
        <w:t xml:space="preserve">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Подготовке высококвалифицированного резерва в сборные команды Московской области, Центрального Федерального </w:t>
      </w:r>
      <w:proofErr w:type="gramStart"/>
      <w:r w:rsidRPr="00551B1F">
        <w:rPr>
          <w:rFonts w:cs="Times New Roman"/>
        </w:rPr>
        <w:t>округа,  Российской</w:t>
      </w:r>
      <w:proofErr w:type="gramEnd"/>
      <w:r w:rsidRPr="00551B1F">
        <w:rPr>
          <w:rFonts w:cs="Times New Roman"/>
        </w:rPr>
        <w:t xml:space="preserve">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</w:t>
      </w:r>
      <w:proofErr w:type="gramStart"/>
      <w:r w:rsidRPr="00551B1F">
        <w:rPr>
          <w:rFonts w:cs="Times New Roman"/>
        </w:rPr>
        <w:t>Популяризации  культивируемых</w:t>
      </w:r>
      <w:proofErr w:type="gramEnd"/>
      <w:r w:rsidRPr="00551B1F">
        <w:rPr>
          <w:rFonts w:cs="Times New Roman"/>
        </w:rPr>
        <w:t xml:space="preserve">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417"/>
        <w:gridCol w:w="1134"/>
        <w:gridCol w:w="993"/>
        <w:gridCol w:w="1134"/>
        <w:gridCol w:w="1275"/>
        <w:gridCol w:w="993"/>
        <w:gridCol w:w="992"/>
        <w:gridCol w:w="1134"/>
        <w:gridCol w:w="1417"/>
        <w:gridCol w:w="1843"/>
      </w:tblGrid>
      <w:tr w:rsidR="000A667B" w:rsidRPr="00551B1F" w:rsidTr="006E6C3D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52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67B" w:rsidRPr="00551B1F" w:rsidTr="007B7F56">
        <w:tc>
          <w:tcPr>
            <w:tcW w:w="709" w:type="dxa"/>
            <w:vMerge/>
          </w:tcPr>
          <w:p w:rsidR="0075512C" w:rsidRPr="00551B1F" w:rsidRDefault="0075512C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67B" w:rsidRPr="00551B1F" w:rsidTr="007B7F56">
        <w:trPr>
          <w:trHeight w:val="13"/>
        </w:trPr>
        <w:tc>
          <w:tcPr>
            <w:tcW w:w="709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4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9BC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89171F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89171F" w:rsidP="007823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736182" w:rsidP="007361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06CF1" w:rsidRPr="006A01F3" w:rsidRDefault="00985C97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</w:t>
            </w:r>
            <w:r w:rsidR="0089171F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89171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171F" w:rsidRPr="00551B1F" w:rsidTr="007B7F56">
        <w:tc>
          <w:tcPr>
            <w:tcW w:w="709" w:type="dxa"/>
            <w:vMerge w:val="restart"/>
          </w:tcPr>
          <w:p w:rsidR="0089171F" w:rsidRPr="00551B1F" w:rsidRDefault="0089171F" w:rsidP="00891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резерва</w:t>
            </w:r>
          </w:p>
        </w:tc>
        <w:tc>
          <w:tcPr>
            <w:tcW w:w="992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9171F" w:rsidRPr="006A01F3" w:rsidRDefault="0089171F" w:rsidP="00891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733 150,0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89171F" w:rsidRDefault="0089171F" w:rsidP="0089171F">
            <w:pPr>
              <w:jc w:val="center"/>
            </w:pPr>
            <w:r w:rsidRPr="00F069CF">
              <w:rPr>
                <w:rFonts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89171F" w:rsidRPr="00315CD9" w:rsidRDefault="00736182" w:rsidP="007361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89171F" w:rsidRPr="004E5A5D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89171F" w:rsidRPr="00551B1F" w:rsidTr="007B7F56">
        <w:tc>
          <w:tcPr>
            <w:tcW w:w="709" w:type="dxa"/>
            <w:vMerge/>
          </w:tcPr>
          <w:p w:rsidR="0089171F" w:rsidRPr="00551B1F" w:rsidRDefault="0089171F" w:rsidP="008917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171F" w:rsidRPr="00551B1F" w:rsidRDefault="0089171F" w:rsidP="008917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171F" w:rsidRPr="00551B1F" w:rsidRDefault="0089171F" w:rsidP="008917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9171F" w:rsidRPr="006A01F3" w:rsidRDefault="0089171F" w:rsidP="00891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733 150,0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89171F" w:rsidRDefault="0089171F" w:rsidP="0089171F">
            <w:pPr>
              <w:jc w:val="center"/>
            </w:pPr>
            <w:r w:rsidRPr="00F069CF">
              <w:rPr>
                <w:rFonts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89171F" w:rsidRPr="004E5A5D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695"/>
        </w:trPr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79D0" w:rsidRPr="006A01F3" w:rsidRDefault="004779D0" w:rsidP="00B712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216 990,</w:t>
            </w:r>
            <w:r w:rsidR="00B7120F">
              <w:rPr>
                <w:sz w:val="20"/>
                <w:szCs w:val="18"/>
              </w:rPr>
              <w:t>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B06CF1" w:rsidRPr="006A01F3" w:rsidRDefault="004779D0" w:rsidP="00B7120F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41435,</w:t>
            </w:r>
            <w:r w:rsidR="00B7120F">
              <w:rPr>
                <w:sz w:val="20"/>
                <w:szCs w:val="18"/>
              </w:rPr>
              <w:t>2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9B707B" w:rsidRPr="00315CD9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134" w:type="dxa"/>
          </w:tcPr>
          <w:p w:rsidR="009B707B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</w:rPr>
            </w:pP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79D0" w:rsidRPr="006A01F3" w:rsidRDefault="004779D0" w:rsidP="00B712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216 990,</w:t>
            </w:r>
            <w:r w:rsidR="00B7120F">
              <w:rPr>
                <w:sz w:val="20"/>
                <w:szCs w:val="18"/>
              </w:rPr>
              <w:t>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B7120F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41435,2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79D0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79D0" w:rsidRPr="006A01F3" w:rsidRDefault="00B7120F" w:rsidP="004779D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216 990,7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4779D0" w:rsidRPr="006A01F3" w:rsidRDefault="004779D0" w:rsidP="004779D0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</w:t>
            </w:r>
            <w:r w:rsidR="00B7120F">
              <w:rPr>
                <w:sz w:val="20"/>
                <w:szCs w:val="18"/>
              </w:rPr>
              <w:t>35,2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4779D0" w:rsidRPr="00315CD9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134" w:type="dxa"/>
          </w:tcPr>
          <w:p w:rsidR="004779D0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779D0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79D0" w:rsidRPr="006A01F3" w:rsidRDefault="00B7120F" w:rsidP="004779D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216 990,7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4779D0" w:rsidRPr="006A01F3" w:rsidRDefault="00B7120F" w:rsidP="004779D0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41435,2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4779D0" w:rsidRPr="004E5A5D" w:rsidRDefault="004779D0" w:rsidP="004779D0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4779D0" w:rsidRPr="004E5A5D" w:rsidRDefault="004779D0" w:rsidP="004779D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Устранение провалов </w:t>
            </w: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тротуарной  плитки</w:t>
            </w:r>
            <w:proofErr w:type="gramEnd"/>
            <w:r w:rsidRPr="00551B1F">
              <w:rPr>
                <w:rFonts w:ascii="Times New Roman" w:hAnsi="Times New Roman" w:cs="Times New Roman"/>
                <w:sz w:val="20"/>
              </w:rPr>
              <w:t xml:space="preserve">  и отмостки здания физкультурно-оздоровительного комплекса с плавательным бассейном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20"/>
        </w:trPr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B55D6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1AFB" w:rsidRPr="00315CD9" w:rsidRDefault="00B7120F" w:rsidP="006E6C3D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166 402</w:t>
            </w:r>
            <w:r w:rsidR="004A2DCB">
              <w:rPr>
                <w:rFonts w:cs="Times New Roman"/>
                <w:sz w:val="20"/>
                <w:szCs w:val="18"/>
              </w:rPr>
              <w:t>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4C7BA2" w:rsidRPr="00B55D63" w:rsidRDefault="004A2DCB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281</w:t>
            </w:r>
            <w:r w:rsidR="00B7120F">
              <w:rPr>
                <w:sz w:val="20"/>
                <w:szCs w:val="18"/>
              </w:rPr>
              <w:t>32</w:t>
            </w:r>
            <w:r w:rsidR="008A6AA7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9B707B" w:rsidRPr="00315CD9" w:rsidRDefault="00C22102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9B707B" w:rsidRPr="00315CD9" w:rsidRDefault="00C2210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</w:tc>
        <w:tc>
          <w:tcPr>
            <w:tcW w:w="1134" w:type="dxa"/>
          </w:tcPr>
          <w:p w:rsidR="009B707B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21738,4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315CD9" w:rsidRDefault="00B7120F" w:rsidP="00AD3947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166 402</w:t>
            </w:r>
            <w:r w:rsidR="004A2DCB">
              <w:rPr>
                <w:rFonts w:cs="Times New Roman"/>
                <w:sz w:val="20"/>
                <w:szCs w:val="18"/>
              </w:rPr>
              <w:t>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4A2DCB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281</w:t>
            </w:r>
            <w:r w:rsidR="00B7120F">
              <w:rPr>
                <w:sz w:val="20"/>
                <w:szCs w:val="18"/>
              </w:rPr>
              <w:t>32</w:t>
            </w:r>
            <w:r w:rsidR="008A6AA7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6C3D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</w:t>
            </w:r>
            <w:r w:rsidRPr="00551B1F">
              <w:rPr>
                <w:sz w:val="20"/>
                <w:szCs w:val="20"/>
              </w:rPr>
              <w:lastRenderedPageBreak/>
              <w:t xml:space="preserve">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6C3D" w:rsidRPr="00315CD9" w:rsidRDefault="00736182" w:rsidP="00B7120F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166 302</w:t>
            </w:r>
            <w:r w:rsidR="004A2DCB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6E6C3D" w:rsidRPr="00B55D63" w:rsidRDefault="00B7120F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28032</w:t>
            </w:r>
            <w:r w:rsidR="004A2DCB" w:rsidRPr="004A2DCB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6E6C3D" w:rsidRPr="00315CD9" w:rsidRDefault="006E6C3D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</w:tc>
        <w:tc>
          <w:tcPr>
            <w:tcW w:w="1134" w:type="dxa"/>
          </w:tcPr>
          <w:p w:rsidR="006E6C3D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21738,4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МБУ </w:t>
            </w:r>
            <w:r w:rsidRPr="00551B1F">
              <w:rPr>
                <w:rFonts w:cs="Times New Roman"/>
                <w:sz w:val="20"/>
              </w:rPr>
              <w:lastRenderedPageBreak/>
              <w:t>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6E6C3D" w:rsidRPr="00551B1F" w:rsidRDefault="006E6C3D" w:rsidP="006E6C3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 xml:space="preserve">Выполнение </w:t>
            </w:r>
            <w:r w:rsidRPr="00551B1F">
              <w:rPr>
                <w:rFonts w:cs="Times New Roman"/>
                <w:sz w:val="20"/>
              </w:rPr>
              <w:lastRenderedPageBreak/>
              <w:t>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315CD9" w:rsidRDefault="00F73E63" w:rsidP="00AD3947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166 302,3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B7120F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28032</w:t>
            </w:r>
            <w:r w:rsidR="004A2DCB" w:rsidRPr="004A2DCB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67F9A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Предоставление субсидии на иные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:rsidR="007C3A7E" w:rsidRPr="009231A0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31A0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9231A0">
              <w:rPr>
                <w:rFonts w:ascii="Times New Roman" w:hAnsi="Times New Roman"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7C3A7E" w:rsidRPr="009231A0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eastAsiaTheme="minorEastAsia" w:hAnsi="Times New Roman" w:cs="Times New Roman"/>
                <w:sz w:val="20"/>
                <w:szCs w:val="18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B55D63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3" w:rsidRPr="00315CD9" w:rsidRDefault="00566556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156 558,5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4C7BA2" w:rsidRPr="00B55D63" w:rsidRDefault="00566556" w:rsidP="0056655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29000</w:t>
            </w:r>
            <w:r w:rsidR="00F818E9">
              <w:rPr>
                <w:sz w:val="20"/>
                <w:szCs w:val="18"/>
              </w:rPr>
              <w:t>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F73E63" w:rsidP="00F73E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767F9A" w:rsidRDefault="00F73E63" w:rsidP="00F73E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</w:t>
            </w:r>
            <w:r w:rsidRPr="00551B1F">
              <w:rPr>
                <w:rFonts w:cs="Times New Roman"/>
                <w:sz w:val="20"/>
              </w:rPr>
              <w:lastRenderedPageBreak/>
              <w:t>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7B7F56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3" w:rsidRPr="00315CD9" w:rsidRDefault="00566556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156 558,5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2" w:rsidRPr="00B55D63" w:rsidRDefault="00F818E9" w:rsidP="0056655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566556">
              <w:rPr>
                <w:sz w:val="20"/>
                <w:szCs w:val="18"/>
              </w:rPr>
              <w:t>9000</w:t>
            </w:r>
            <w:r>
              <w:rPr>
                <w:sz w:val="20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8E9" w:rsidRPr="00551B1F" w:rsidTr="007B7F56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B55D63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E9" w:rsidRPr="00315CD9" w:rsidRDefault="00566556" w:rsidP="00F818E9">
            <w:pPr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156 210,5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18E9" w:rsidRPr="00315CD9" w:rsidRDefault="00F818E9" w:rsidP="00F818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E9" w:rsidRPr="00315CD9" w:rsidRDefault="00F818E9" w:rsidP="00FA2834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F818E9" w:rsidRDefault="00566556" w:rsidP="00F818E9">
            <w:pPr>
              <w:jc w:val="center"/>
            </w:pPr>
            <w:r>
              <w:rPr>
                <w:sz w:val="20"/>
                <w:szCs w:val="18"/>
              </w:rPr>
              <w:t>289</w:t>
            </w:r>
            <w:r w:rsidR="00F818E9" w:rsidRPr="00774DEE">
              <w:rPr>
                <w:sz w:val="20"/>
                <w:szCs w:val="18"/>
              </w:rPr>
              <w:t>00,0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F818E9" w:rsidRPr="00315CD9" w:rsidRDefault="00F818E9" w:rsidP="00F73E63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</w:t>
            </w:r>
            <w:r w:rsidR="00F73E63">
              <w:rPr>
                <w:sz w:val="20"/>
                <w:szCs w:val="18"/>
              </w:rPr>
              <w:t>869,4</w:t>
            </w:r>
          </w:p>
        </w:tc>
        <w:tc>
          <w:tcPr>
            <w:tcW w:w="1134" w:type="dxa"/>
          </w:tcPr>
          <w:p w:rsidR="00F818E9" w:rsidRPr="004E5A5D" w:rsidRDefault="00F73E63" w:rsidP="00F73E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 w:val="restart"/>
          </w:tcPr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F818E9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</w:p>
        </w:tc>
      </w:tr>
      <w:tr w:rsidR="00F818E9" w:rsidRPr="00551B1F" w:rsidTr="007B7F56">
        <w:tc>
          <w:tcPr>
            <w:tcW w:w="709" w:type="dxa"/>
            <w:vMerge/>
          </w:tcPr>
          <w:p w:rsidR="00F818E9" w:rsidRPr="00551B1F" w:rsidRDefault="00F818E9" w:rsidP="00F818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818E9" w:rsidRPr="00315CD9" w:rsidRDefault="00566556" w:rsidP="00F818E9">
            <w:pPr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156 210,5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</w:tcPr>
          <w:p w:rsidR="00F818E9" w:rsidRPr="00315CD9" w:rsidRDefault="00F818E9" w:rsidP="00FA2834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F818E9" w:rsidRDefault="00566556" w:rsidP="00F818E9">
            <w:pPr>
              <w:jc w:val="center"/>
            </w:pPr>
            <w:r>
              <w:rPr>
                <w:sz w:val="20"/>
                <w:szCs w:val="18"/>
              </w:rPr>
              <w:t>289</w:t>
            </w:r>
            <w:r w:rsidR="00F818E9" w:rsidRPr="00774DEE">
              <w:rPr>
                <w:sz w:val="20"/>
                <w:szCs w:val="18"/>
              </w:rPr>
              <w:t>00,0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F818E9" w:rsidRPr="004E5A5D" w:rsidRDefault="00F818E9" w:rsidP="00F818E9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  <w:r w:rsidR="00F4405B" w:rsidRPr="00B55D63">
              <w:rPr>
                <w:rFonts w:cs="Times New Roman"/>
                <w:sz w:val="20"/>
                <w:szCs w:val="20"/>
              </w:rPr>
              <w:t>-</w:t>
            </w:r>
            <w:r w:rsidR="00F4405B"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B707B" w:rsidRPr="004C7BA2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lastRenderedPageBreak/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5F5A49" w:rsidRDefault="004F2EA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129 781,1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9B707B" w:rsidRPr="00315CD9" w:rsidRDefault="004F2EAE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9B707B" w:rsidRPr="00315CD9" w:rsidRDefault="005F5A49" w:rsidP="00F7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</w:tc>
        <w:tc>
          <w:tcPr>
            <w:tcW w:w="1134" w:type="dxa"/>
          </w:tcPr>
          <w:p w:rsidR="009B707B" w:rsidRPr="004E5A5D" w:rsidRDefault="00F73E63" w:rsidP="00F7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17265,5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F5A49" w:rsidRDefault="004F2EAE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129 781,1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551B1F" w:rsidTr="007B7F56">
        <w:trPr>
          <w:trHeight w:val="1310"/>
        </w:trPr>
        <w:tc>
          <w:tcPr>
            <w:tcW w:w="709" w:type="dxa"/>
            <w:vMerge w:val="restart"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1418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AE" w:rsidRPr="004F2EAE" w:rsidRDefault="004F2EAE" w:rsidP="004F2E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2EAE">
              <w:rPr>
                <w:rFonts w:cs="Times New Roman"/>
                <w:color w:val="000000"/>
                <w:sz w:val="20"/>
                <w:szCs w:val="20"/>
              </w:rPr>
              <w:t>129 781,10</w:t>
            </w:r>
          </w:p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 w:rsidRPr="004F2EAE"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843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</w:t>
            </w:r>
            <w:r w:rsidRPr="00551B1F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rPr>
          <w:trHeight w:val="1912"/>
        </w:trPr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AE" w:rsidRPr="004F2EAE" w:rsidRDefault="004F2EAE" w:rsidP="004F2E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2EAE">
              <w:rPr>
                <w:rFonts w:cs="Times New Roman"/>
                <w:color w:val="000000"/>
                <w:sz w:val="20"/>
                <w:szCs w:val="20"/>
              </w:rPr>
              <w:t>129 781,10</w:t>
            </w:r>
          </w:p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 w:rsidRPr="004F2EAE"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"/>
        </w:trPr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992" w:type="dxa"/>
            <w:vMerge w:val="restart"/>
          </w:tcPr>
          <w:p w:rsidR="009B707B" w:rsidRPr="004E5A5D" w:rsidRDefault="00AC2DC4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2020-2022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5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4B56CD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3A6559" w:rsidTr="007B7F56">
        <w:tc>
          <w:tcPr>
            <w:tcW w:w="709" w:type="dxa"/>
            <w:vMerge w:val="restart"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1418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D3947" w:rsidRPr="00AC2DC4" w:rsidRDefault="00AC2DC4" w:rsidP="00AD394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2020-2022</w:t>
            </w: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задания на оказание муниципальных услуг (выполнение </w:t>
            </w:r>
            <w:r w:rsidRPr="003A6559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c>
          <w:tcPr>
            <w:tcW w:w="709" w:type="dxa"/>
            <w:vMerge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lastRenderedPageBreak/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AD3947" w:rsidP="009B707B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9E30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9E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5D5" w:rsidRPr="003A6559" w:rsidTr="007B7F56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</w:t>
            </w:r>
            <w:r w:rsidRPr="003A6559">
              <w:rPr>
                <w:sz w:val="20"/>
                <w:szCs w:val="20"/>
              </w:rPr>
              <w:lastRenderedPageBreak/>
              <w:t>муниципального задания</w:t>
            </w:r>
            <w:r w:rsidR="00933B18">
              <w:rPr>
                <w:sz w:val="20"/>
                <w:szCs w:val="20"/>
              </w:rPr>
              <w:t xml:space="preserve"> </w:t>
            </w:r>
            <w:r w:rsidRPr="003A6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475D5" w:rsidRPr="00AC2DC4" w:rsidRDefault="005475D5" w:rsidP="005475D5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4E5A5D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, МБУ «ФСШ </w:t>
            </w:r>
            <w:r w:rsidRPr="003A6559">
              <w:rPr>
                <w:rFonts w:cs="Times New Roman"/>
                <w:sz w:val="20"/>
              </w:rPr>
              <w:lastRenderedPageBreak/>
              <w:t>«ВОСТОК-Электросталь»</w:t>
            </w:r>
          </w:p>
        </w:tc>
        <w:tc>
          <w:tcPr>
            <w:tcW w:w="1843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3A6559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75D5" w:rsidRPr="003A6559" w:rsidTr="007B7F56">
        <w:trPr>
          <w:trHeight w:val="1783"/>
        </w:trPr>
        <w:tc>
          <w:tcPr>
            <w:tcW w:w="709" w:type="dxa"/>
            <w:vMerge/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  <w:highlight w:val="yellow"/>
              </w:rPr>
            </w:pPr>
            <w:r w:rsidRPr="007B7F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994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7B7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B707B" w:rsidRPr="003A6559" w:rsidRDefault="009B707B" w:rsidP="009B707B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6559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3A6559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3A6559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030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288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6559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rPr>
          <w:trHeight w:val="787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62947" w:rsidRPr="006D3A34" w:rsidRDefault="00B7120F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736 088,0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144698,8</w:t>
            </w:r>
          </w:p>
        </w:tc>
        <w:tc>
          <w:tcPr>
            <w:tcW w:w="1275" w:type="dxa"/>
          </w:tcPr>
          <w:p w:rsidR="00B06CF1" w:rsidRPr="00B41C97" w:rsidRDefault="00B7120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</w:rPr>
            </w:pPr>
          </w:p>
          <w:p w:rsidR="009B707B" w:rsidRPr="005B1D14" w:rsidRDefault="009B707B" w:rsidP="009B707B">
            <w:pPr>
              <w:jc w:val="center"/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62947" w:rsidRPr="006D3A34" w:rsidRDefault="00B7120F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733 893,3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142504,1</w:t>
            </w:r>
          </w:p>
        </w:tc>
        <w:tc>
          <w:tcPr>
            <w:tcW w:w="1275" w:type="dxa"/>
          </w:tcPr>
          <w:p w:rsidR="00B06CF1" w:rsidRPr="00B41C97" w:rsidRDefault="00B7120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8D4686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</w:t>
      </w:r>
      <w:r w:rsidRPr="004E5A5D">
        <w:rPr>
          <w:rFonts w:ascii="Times New Roman" w:hAnsi="Times New Roman" w:cs="Times New Roman"/>
          <w:sz w:val="24"/>
          <w:szCs w:val="24"/>
        </w:rPr>
        <w:t>-2025</w:t>
      </w:r>
      <w:r w:rsidR="002F6451" w:rsidRPr="003A655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134"/>
        <w:gridCol w:w="1134"/>
        <w:gridCol w:w="1275"/>
        <w:gridCol w:w="1276"/>
        <w:gridCol w:w="1276"/>
        <w:gridCol w:w="1205"/>
        <w:gridCol w:w="1205"/>
        <w:gridCol w:w="2474"/>
      </w:tblGrid>
      <w:tr w:rsidR="001758CD" w:rsidRPr="003A6559" w:rsidTr="000A667B">
        <w:tc>
          <w:tcPr>
            <w:tcW w:w="3890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79" w:type="dxa"/>
            <w:gridSpan w:val="8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8C404F" w:rsidRPr="003A6559" w:rsidTr="009B707B">
        <w:trPr>
          <w:trHeight w:val="349"/>
        </w:trPr>
        <w:tc>
          <w:tcPr>
            <w:tcW w:w="3890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5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>
              <w:t>2025</w:t>
            </w:r>
            <w:r w:rsidRPr="003A6559">
              <w:t xml:space="preserve"> год</w:t>
            </w:r>
          </w:p>
        </w:tc>
        <w:tc>
          <w:tcPr>
            <w:tcW w:w="2474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A45D6" w:rsidRPr="003A6559" w:rsidTr="00937339">
        <w:tc>
          <w:tcPr>
            <w:tcW w:w="3890" w:type="dxa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:rsidR="006A45D6" w:rsidRDefault="00566556" w:rsidP="006A45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1134" w:type="dxa"/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1275" w:type="dxa"/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1276" w:type="dxa"/>
          </w:tcPr>
          <w:p w:rsidR="006A45D6" w:rsidRDefault="00566556" w:rsidP="006A45D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1276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1205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205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2474" w:type="dxa"/>
            <w:vMerge w:val="restart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A45D6" w:rsidRPr="002618A2" w:rsidTr="00FA5FE7">
        <w:tc>
          <w:tcPr>
            <w:tcW w:w="3890" w:type="dxa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566556" w:rsidP="006A45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566556" w:rsidP="006A45D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2474" w:type="dxa"/>
            <w:vMerge/>
          </w:tcPr>
          <w:p w:rsidR="006A45D6" w:rsidRPr="002618A2" w:rsidRDefault="006A45D6" w:rsidP="006A45D6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417"/>
        <w:gridCol w:w="1418"/>
        <w:gridCol w:w="992"/>
        <w:gridCol w:w="992"/>
        <w:gridCol w:w="992"/>
        <w:gridCol w:w="851"/>
        <w:gridCol w:w="992"/>
        <w:gridCol w:w="851"/>
        <w:gridCol w:w="1842"/>
        <w:gridCol w:w="1701"/>
      </w:tblGrid>
      <w:tr w:rsidR="004B3B84" w:rsidRPr="00551B1F" w:rsidTr="00566556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70" w:type="dxa"/>
            <w:gridSpan w:val="6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8C404F" w:rsidRPr="00551B1F" w:rsidTr="00566556">
        <w:tc>
          <w:tcPr>
            <w:tcW w:w="567" w:type="dxa"/>
            <w:vMerge/>
          </w:tcPr>
          <w:p w:rsidR="008C404F" w:rsidRPr="00551B1F" w:rsidRDefault="008C404F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8C404F" w:rsidRDefault="008C404F" w:rsidP="008C40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12349E">
              <w:rPr>
                <w:rFonts w:ascii="Times New Roman" w:hAnsi="Times New Roman" w:cs="Times New Roman"/>
                <w:sz w:val="20"/>
              </w:rPr>
              <w:t>2025</w:t>
            </w:r>
          </w:p>
          <w:p w:rsidR="008C404F" w:rsidRPr="00551B1F" w:rsidRDefault="008C404F" w:rsidP="008C40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842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404F" w:rsidRPr="00551B1F" w:rsidTr="00566556">
        <w:tc>
          <w:tcPr>
            <w:tcW w:w="56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66556" w:rsidRPr="00551B1F" w:rsidTr="00566556">
        <w:tc>
          <w:tcPr>
            <w:tcW w:w="567" w:type="dxa"/>
            <w:vMerge w:val="restart"/>
          </w:tcPr>
          <w:p w:rsidR="00566556" w:rsidRPr="00551B1F" w:rsidRDefault="00566556" w:rsidP="00566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</w:t>
            </w:r>
            <w:proofErr w:type="gramEnd"/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 условий для реализации полномочий органов местного самоуправления»</w:t>
            </w:r>
          </w:p>
        </w:tc>
        <w:tc>
          <w:tcPr>
            <w:tcW w:w="993" w:type="dxa"/>
            <w:vMerge w:val="restart"/>
          </w:tcPr>
          <w:p w:rsidR="00566556" w:rsidRPr="004E5A5D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566556" w:rsidRPr="004E5A5D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701" w:type="dxa"/>
            <w:vMerge w:val="restart"/>
          </w:tcPr>
          <w:p w:rsidR="00566556" w:rsidRPr="00551B1F" w:rsidRDefault="00566556" w:rsidP="00566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66556" w:rsidRPr="00551B1F" w:rsidTr="00566556">
        <w:tc>
          <w:tcPr>
            <w:tcW w:w="567" w:type="dxa"/>
            <w:vMerge/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566556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56655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6556" w:rsidRPr="00551B1F" w:rsidTr="00566556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566556" w:rsidRPr="00551B1F" w:rsidTr="00566556">
        <w:tc>
          <w:tcPr>
            <w:tcW w:w="567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6556" w:rsidRPr="00551B1F" w:rsidTr="00566556">
        <w:trPr>
          <w:trHeight w:val="554"/>
        </w:trPr>
        <w:tc>
          <w:tcPr>
            <w:tcW w:w="567" w:type="dxa"/>
            <w:vMerge w:val="restart"/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93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</w:t>
            </w:r>
            <w:r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701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566556" w:rsidRPr="00551B1F" w:rsidTr="00566556">
        <w:tc>
          <w:tcPr>
            <w:tcW w:w="567" w:type="dxa"/>
            <w:vMerge/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6556" w:rsidRPr="00551B1F" w:rsidTr="00566556">
        <w:tc>
          <w:tcPr>
            <w:tcW w:w="567" w:type="dxa"/>
            <w:vMerge w:val="restart"/>
          </w:tcPr>
          <w:p w:rsidR="00566556" w:rsidRPr="00551B1F" w:rsidRDefault="00566556" w:rsidP="0056655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66556" w:rsidRPr="00551B1F" w:rsidTr="00566556">
        <w:tc>
          <w:tcPr>
            <w:tcW w:w="567" w:type="dxa"/>
            <w:vMerge/>
          </w:tcPr>
          <w:p w:rsidR="00566556" w:rsidRPr="00551B1F" w:rsidRDefault="00566556" w:rsidP="0056655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13" w:rsidRDefault="00006A13" w:rsidP="00817E29">
      <w:r>
        <w:separator/>
      </w:r>
    </w:p>
  </w:endnote>
  <w:endnote w:type="continuationSeparator" w:id="0">
    <w:p w:rsidR="00006A13" w:rsidRDefault="00006A13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13" w:rsidRDefault="00006A13" w:rsidP="00817E29">
      <w:r>
        <w:separator/>
      </w:r>
    </w:p>
  </w:footnote>
  <w:footnote w:type="continuationSeparator" w:id="0">
    <w:p w:rsidR="00006A13" w:rsidRDefault="00006A13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F55BC9" w:rsidRDefault="00F55BC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2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BC9" w:rsidRDefault="00F55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6A13"/>
    <w:rsid w:val="00007234"/>
    <w:rsid w:val="00007AB9"/>
    <w:rsid w:val="000124D6"/>
    <w:rsid w:val="00014F57"/>
    <w:rsid w:val="00022E33"/>
    <w:rsid w:val="00023245"/>
    <w:rsid w:val="00030A1B"/>
    <w:rsid w:val="00030A3D"/>
    <w:rsid w:val="00032D01"/>
    <w:rsid w:val="000355C3"/>
    <w:rsid w:val="0003705B"/>
    <w:rsid w:val="0004528D"/>
    <w:rsid w:val="000464A1"/>
    <w:rsid w:val="00046880"/>
    <w:rsid w:val="00047184"/>
    <w:rsid w:val="00047D68"/>
    <w:rsid w:val="000508E5"/>
    <w:rsid w:val="0005095C"/>
    <w:rsid w:val="00051650"/>
    <w:rsid w:val="00052405"/>
    <w:rsid w:val="000531BD"/>
    <w:rsid w:val="0005467A"/>
    <w:rsid w:val="000557E7"/>
    <w:rsid w:val="00056589"/>
    <w:rsid w:val="00060537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0A2"/>
    <w:rsid w:val="00081C9C"/>
    <w:rsid w:val="000846F2"/>
    <w:rsid w:val="0008502E"/>
    <w:rsid w:val="0008544A"/>
    <w:rsid w:val="00087382"/>
    <w:rsid w:val="0009328E"/>
    <w:rsid w:val="00097814"/>
    <w:rsid w:val="000A2F12"/>
    <w:rsid w:val="000A31FD"/>
    <w:rsid w:val="000A5F1D"/>
    <w:rsid w:val="000A667B"/>
    <w:rsid w:val="000A6DA3"/>
    <w:rsid w:val="000A7F4A"/>
    <w:rsid w:val="000B3C55"/>
    <w:rsid w:val="000B5B87"/>
    <w:rsid w:val="000C3776"/>
    <w:rsid w:val="000C7F7E"/>
    <w:rsid w:val="000D0802"/>
    <w:rsid w:val="000D09EB"/>
    <w:rsid w:val="000D14BA"/>
    <w:rsid w:val="000D5615"/>
    <w:rsid w:val="000D6E92"/>
    <w:rsid w:val="000D79C3"/>
    <w:rsid w:val="000D7D95"/>
    <w:rsid w:val="000E0E99"/>
    <w:rsid w:val="000E3BE5"/>
    <w:rsid w:val="000F47B7"/>
    <w:rsid w:val="000F4B25"/>
    <w:rsid w:val="000F6A83"/>
    <w:rsid w:val="000F728F"/>
    <w:rsid w:val="001004B8"/>
    <w:rsid w:val="0010096D"/>
    <w:rsid w:val="00100D2D"/>
    <w:rsid w:val="00106582"/>
    <w:rsid w:val="001136E2"/>
    <w:rsid w:val="00114278"/>
    <w:rsid w:val="00115270"/>
    <w:rsid w:val="00122830"/>
    <w:rsid w:val="0012349E"/>
    <w:rsid w:val="00124D23"/>
    <w:rsid w:val="00126220"/>
    <w:rsid w:val="001271DA"/>
    <w:rsid w:val="00132675"/>
    <w:rsid w:val="00133F1E"/>
    <w:rsid w:val="00137558"/>
    <w:rsid w:val="00140C0C"/>
    <w:rsid w:val="001425D3"/>
    <w:rsid w:val="00144EF7"/>
    <w:rsid w:val="001450FF"/>
    <w:rsid w:val="00146DAC"/>
    <w:rsid w:val="00150318"/>
    <w:rsid w:val="00150F72"/>
    <w:rsid w:val="001548CE"/>
    <w:rsid w:val="00157CA0"/>
    <w:rsid w:val="001606F1"/>
    <w:rsid w:val="00162CC8"/>
    <w:rsid w:val="00163D14"/>
    <w:rsid w:val="001662ED"/>
    <w:rsid w:val="0017105E"/>
    <w:rsid w:val="00171095"/>
    <w:rsid w:val="00172CF4"/>
    <w:rsid w:val="001758CD"/>
    <w:rsid w:val="00182E79"/>
    <w:rsid w:val="00185D17"/>
    <w:rsid w:val="001861FB"/>
    <w:rsid w:val="00187CBE"/>
    <w:rsid w:val="00190217"/>
    <w:rsid w:val="00191E54"/>
    <w:rsid w:val="00194138"/>
    <w:rsid w:val="001953D1"/>
    <w:rsid w:val="001A2A08"/>
    <w:rsid w:val="001A60F3"/>
    <w:rsid w:val="001A64D7"/>
    <w:rsid w:val="001B112D"/>
    <w:rsid w:val="001C3712"/>
    <w:rsid w:val="001D0156"/>
    <w:rsid w:val="001D6BB4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06EA6"/>
    <w:rsid w:val="00210A44"/>
    <w:rsid w:val="0021184C"/>
    <w:rsid w:val="00212C86"/>
    <w:rsid w:val="002135D0"/>
    <w:rsid w:val="0021443B"/>
    <w:rsid w:val="00221A02"/>
    <w:rsid w:val="002233B0"/>
    <w:rsid w:val="0022390D"/>
    <w:rsid w:val="0023134A"/>
    <w:rsid w:val="002347C9"/>
    <w:rsid w:val="002378AC"/>
    <w:rsid w:val="00242D61"/>
    <w:rsid w:val="00242DB6"/>
    <w:rsid w:val="00243FE0"/>
    <w:rsid w:val="00246702"/>
    <w:rsid w:val="00250684"/>
    <w:rsid w:val="00252DA7"/>
    <w:rsid w:val="002547B9"/>
    <w:rsid w:val="002561EA"/>
    <w:rsid w:val="002571CE"/>
    <w:rsid w:val="00257F02"/>
    <w:rsid w:val="00261623"/>
    <w:rsid w:val="00262307"/>
    <w:rsid w:val="0026465F"/>
    <w:rsid w:val="00266429"/>
    <w:rsid w:val="00267A9B"/>
    <w:rsid w:val="00270608"/>
    <w:rsid w:val="00270F79"/>
    <w:rsid w:val="00272668"/>
    <w:rsid w:val="002741EE"/>
    <w:rsid w:val="00275093"/>
    <w:rsid w:val="002775B3"/>
    <w:rsid w:val="002830A1"/>
    <w:rsid w:val="00286067"/>
    <w:rsid w:val="00286337"/>
    <w:rsid w:val="00286B9E"/>
    <w:rsid w:val="0029584D"/>
    <w:rsid w:val="002A03AF"/>
    <w:rsid w:val="002A07BC"/>
    <w:rsid w:val="002A2E56"/>
    <w:rsid w:val="002A3542"/>
    <w:rsid w:val="002A50D2"/>
    <w:rsid w:val="002B022F"/>
    <w:rsid w:val="002B0600"/>
    <w:rsid w:val="002B3EF2"/>
    <w:rsid w:val="002B4812"/>
    <w:rsid w:val="002B68C3"/>
    <w:rsid w:val="002B7AEB"/>
    <w:rsid w:val="002B7F8A"/>
    <w:rsid w:val="002C1269"/>
    <w:rsid w:val="002C4838"/>
    <w:rsid w:val="002D6CF4"/>
    <w:rsid w:val="002D7358"/>
    <w:rsid w:val="002D7754"/>
    <w:rsid w:val="002E2BAE"/>
    <w:rsid w:val="002E337D"/>
    <w:rsid w:val="002E4733"/>
    <w:rsid w:val="002E4970"/>
    <w:rsid w:val="002E5414"/>
    <w:rsid w:val="002E7833"/>
    <w:rsid w:val="002E79DA"/>
    <w:rsid w:val="002F1A91"/>
    <w:rsid w:val="002F3BB3"/>
    <w:rsid w:val="002F3C0E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09E2"/>
    <w:rsid w:val="003115B6"/>
    <w:rsid w:val="00314DED"/>
    <w:rsid w:val="003159FE"/>
    <w:rsid w:val="00315CD9"/>
    <w:rsid w:val="00316738"/>
    <w:rsid w:val="00320C15"/>
    <w:rsid w:val="00323A01"/>
    <w:rsid w:val="003242B5"/>
    <w:rsid w:val="0032510C"/>
    <w:rsid w:val="00335333"/>
    <w:rsid w:val="00345024"/>
    <w:rsid w:val="00346580"/>
    <w:rsid w:val="00353360"/>
    <w:rsid w:val="00355C24"/>
    <w:rsid w:val="00357406"/>
    <w:rsid w:val="00362A0A"/>
    <w:rsid w:val="00363821"/>
    <w:rsid w:val="00365EF6"/>
    <w:rsid w:val="00365EFF"/>
    <w:rsid w:val="00366876"/>
    <w:rsid w:val="0036692C"/>
    <w:rsid w:val="00366CA1"/>
    <w:rsid w:val="0037065E"/>
    <w:rsid w:val="00370A50"/>
    <w:rsid w:val="003735D0"/>
    <w:rsid w:val="003741C9"/>
    <w:rsid w:val="003765CC"/>
    <w:rsid w:val="00380908"/>
    <w:rsid w:val="0038223F"/>
    <w:rsid w:val="0039049F"/>
    <w:rsid w:val="0039322A"/>
    <w:rsid w:val="003952F9"/>
    <w:rsid w:val="00396699"/>
    <w:rsid w:val="003A4412"/>
    <w:rsid w:val="003A50EC"/>
    <w:rsid w:val="003A6559"/>
    <w:rsid w:val="003B28CA"/>
    <w:rsid w:val="003B52B9"/>
    <w:rsid w:val="003C0EE5"/>
    <w:rsid w:val="003C17AC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E07EF"/>
    <w:rsid w:val="003E1AF1"/>
    <w:rsid w:val="003E1BA4"/>
    <w:rsid w:val="003E796C"/>
    <w:rsid w:val="003F21D5"/>
    <w:rsid w:val="003F2E3C"/>
    <w:rsid w:val="003F2FE4"/>
    <w:rsid w:val="003F4099"/>
    <w:rsid w:val="003F5C71"/>
    <w:rsid w:val="003F6F47"/>
    <w:rsid w:val="0040008F"/>
    <w:rsid w:val="0040201A"/>
    <w:rsid w:val="00403DB8"/>
    <w:rsid w:val="004052F0"/>
    <w:rsid w:val="00407A36"/>
    <w:rsid w:val="004100EC"/>
    <w:rsid w:val="00413821"/>
    <w:rsid w:val="00421E2C"/>
    <w:rsid w:val="00422149"/>
    <w:rsid w:val="00422E41"/>
    <w:rsid w:val="004250C8"/>
    <w:rsid w:val="00426A5C"/>
    <w:rsid w:val="00435988"/>
    <w:rsid w:val="00437991"/>
    <w:rsid w:val="004401F4"/>
    <w:rsid w:val="00440AE9"/>
    <w:rsid w:val="004424EC"/>
    <w:rsid w:val="00443735"/>
    <w:rsid w:val="00444A6A"/>
    <w:rsid w:val="00444D82"/>
    <w:rsid w:val="004516AF"/>
    <w:rsid w:val="00452573"/>
    <w:rsid w:val="00454476"/>
    <w:rsid w:val="004545CC"/>
    <w:rsid w:val="004546CE"/>
    <w:rsid w:val="00454CD9"/>
    <w:rsid w:val="00454DF1"/>
    <w:rsid w:val="00471391"/>
    <w:rsid w:val="0047244A"/>
    <w:rsid w:val="00474706"/>
    <w:rsid w:val="00475321"/>
    <w:rsid w:val="00475621"/>
    <w:rsid w:val="004779D0"/>
    <w:rsid w:val="00477B2B"/>
    <w:rsid w:val="0048014A"/>
    <w:rsid w:val="0048158F"/>
    <w:rsid w:val="00482157"/>
    <w:rsid w:val="00484DCD"/>
    <w:rsid w:val="004861AB"/>
    <w:rsid w:val="00487385"/>
    <w:rsid w:val="00491669"/>
    <w:rsid w:val="00492FF0"/>
    <w:rsid w:val="00494A85"/>
    <w:rsid w:val="00497BE3"/>
    <w:rsid w:val="004A07C9"/>
    <w:rsid w:val="004A2DCB"/>
    <w:rsid w:val="004A63E9"/>
    <w:rsid w:val="004B1AEC"/>
    <w:rsid w:val="004B37E9"/>
    <w:rsid w:val="004B3A0F"/>
    <w:rsid w:val="004B3B84"/>
    <w:rsid w:val="004B474E"/>
    <w:rsid w:val="004B4947"/>
    <w:rsid w:val="004B56CD"/>
    <w:rsid w:val="004B5BD1"/>
    <w:rsid w:val="004B6E4C"/>
    <w:rsid w:val="004B6E86"/>
    <w:rsid w:val="004C2BCD"/>
    <w:rsid w:val="004C7BA2"/>
    <w:rsid w:val="004D05CC"/>
    <w:rsid w:val="004D18CD"/>
    <w:rsid w:val="004D4CA0"/>
    <w:rsid w:val="004D5688"/>
    <w:rsid w:val="004E0D2F"/>
    <w:rsid w:val="004E1982"/>
    <w:rsid w:val="004E3805"/>
    <w:rsid w:val="004E5A5D"/>
    <w:rsid w:val="004F0E8C"/>
    <w:rsid w:val="004F267B"/>
    <w:rsid w:val="004F2DBB"/>
    <w:rsid w:val="004F2EAE"/>
    <w:rsid w:val="004F318F"/>
    <w:rsid w:val="00504CD7"/>
    <w:rsid w:val="00505AB3"/>
    <w:rsid w:val="00510221"/>
    <w:rsid w:val="00510E8A"/>
    <w:rsid w:val="00511189"/>
    <w:rsid w:val="00511DD0"/>
    <w:rsid w:val="00513B65"/>
    <w:rsid w:val="00513F34"/>
    <w:rsid w:val="00514FDA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5D5"/>
    <w:rsid w:val="00547C9C"/>
    <w:rsid w:val="00550B43"/>
    <w:rsid w:val="005519BC"/>
    <w:rsid w:val="00551B1F"/>
    <w:rsid w:val="00554EDA"/>
    <w:rsid w:val="0056064B"/>
    <w:rsid w:val="00560A70"/>
    <w:rsid w:val="00564F0D"/>
    <w:rsid w:val="00566556"/>
    <w:rsid w:val="0056708B"/>
    <w:rsid w:val="00567D92"/>
    <w:rsid w:val="0057038E"/>
    <w:rsid w:val="00572426"/>
    <w:rsid w:val="00572CCB"/>
    <w:rsid w:val="00573C20"/>
    <w:rsid w:val="00576A4F"/>
    <w:rsid w:val="005778FA"/>
    <w:rsid w:val="00583100"/>
    <w:rsid w:val="00584306"/>
    <w:rsid w:val="0058573C"/>
    <w:rsid w:val="00591D61"/>
    <w:rsid w:val="005944D1"/>
    <w:rsid w:val="005948D4"/>
    <w:rsid w:val="005A1734"/>
    <w:rsid w:val="005A203B"/>
    <w:rsid w:val="005A2F77"/>
    <w:rsid w:val="005A6776"/>
    <w:rsid w:val="005B117E"/>
    <w:rsid w:val="005B1D14"/>
    <w:rsid w:val="005C2478"/>
    <w:rsid w:val="005C396A"/>
    <w:rsid w:val="005C6813"/>
    <w:rsid w:val="005D04C7"/>
    <w:rsid w:val="005D3CFF"/>
    <w:rsid w:val="005D5BEA"/>
    <w:rsid w:val="005D5E5C"/>
    <w:rsid w:val="005E32DF"/>
    <w:rsid w:val="005F1642"/>
    <w:rsid w:val="005F3193"/>
    <w:rsid w:val="005F46DB"/>
    <w:rsid w:val="005F566F"/>
    <w:rsid w:val="005F5A49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23195"/>
    <w:rsid w:val="006254F9"/>
    <w:rsid w:val="00632B9A"/>
    <w:rsid w:val="006366A0"/>
    <w:rsid w:val="006400B6"/>
    <w:rsid w:val="00640F82"/>
    <w:rsid w:val="0064212A"/>
    <w:rsid w:val="00642D18"/>
    <w:rsid w:val="00647BCD"/>
    <w:rsid w:val="00650B5D"/>
    <w:rsid w:val="00651AFB"/>
    <w:rsid w:val="00654D7C"/>
    <w:rsid w:val="00655CEA"/>
    <w:rsid w:val="00656148"/>
    <w:rsid w:val="006604FD"/>
    <w:rsid w:val="006609EB"/>
    <w:rsid w:val="0066658C"/>
    <w:rsid w:val="0067031D"/>
    <w:rsid w:val="00673935"/>
    <w:rsid w:val="006753E9"/>
    <w:rsid w:val="00675C73"/>
    <w:rsid w:val="006768F3"/>
    <w:rsid w:val="00676D42"/>
    <w:rsid w:val="006777F6"/>
    <w:rsid w:val="00682336"/>
    <w:rsid w:val="00686824"/>
    <w:rsid w:val="0069059C"/>
    <w:rsid w:val="006907A5"/>
    <w:rsid w:val="006927BC"/>
    <w:rsid w:val="006927E9"/>
    <w:rsid w:val="00696170"/>
    <w:rsid w:val="00696C82"/>
    <w:rsid w:val="006A01F3"/>
    <w:rsid w:val="006A0E49"/>
    <w:rsid w:val="006A10AE"/>
    <w:rsid w:val="006A310E"/>
    <w:rsid w:val="006A3C79"/>
    <w:rsid w:val="006A45D6"/>
    <w:rsid w:val="006A5209"/>
    <w:rsid w:val="006A7625"/>
    <w:rsid w:val="006A7FFD"/>
    <w:rsid w:val="006B12C8"/>
    <w:rsid w:val="006B1931"/>
    <w:rsid w:val="006B6509"/>
    <w:rsid w:val="006C075F"/>
    <w:rsid w:val="006C09DE"/>
    <w:rsid w:val="006C37A3"/>
    <w:rsid w:val="006C6414"/>
    <w:rsid w:val="006C7447"/>
    <w:rsid w:val="006D39A0"/>
    <w:rsid w:val="006D3A34"/>
    <w:rsid w:val="006E186D"/>
    <w:rsid w:val="006E6C3D"/>
    <w:rsid w:val="006E6CBE"/>
    <w:rsid w:val="006F2493"/>
    <w:rsid w:val="006F7623"/>
    <w:rsid w:val="006F7AF3"/>
    <w:rsid w:val="006F7E88"/>
    <w:rsid w:val="00700D1C"/>
    <w:rsid w:val="00701BE4"/>
    <w:rsid w:val="00701E82"/>
    <w:rsid w:val="00707F75"/>
    <w:rsid w:val="007101CF"/>
    <w:rsid w:val="00710C54"/>
    <w:rsid w:val="00711ECE"/>
    <w:rsid w:val="00714D2D"/>
    <w:rsid w:val="00717197"/>
    <w:rsid w:val="00717D31"/>
    <w:rsid w:val="00724AD4"/>
    <w:rsid w:val="00730286"/>
    <w:rsid w:val="00732454"/>
    <w:rsid w:val="007347DF"/>
    <w:rsid w:val="00734C27"/>
    <w:rsid w:val="007355E9"/>
    <w:rsid w:val="00736182"/>
    <w:rsid w:val="00740972"/>
    <w:rsid w:val="00743965"/>
    <w:rsid w:val="00743EED"/>
    <w:rsid w:val="00745CF4"/>
    <w:rsid w:val="00746280"/>
    <w:rsid w:val="0074667C"/>
    <w:rsid w:val="00747CF5"/>
    <w:rsid w:val="007543DB"/>
    <w:rsid w:val="00754BB1"/>
    <w:rsid w:val="0075512C"/>
    <w:rsid w:val="00755E02"/>
    <w:rsid w:val="007565EC"/>
    <w:rsid w:val="00756F36"/>
    <w:rsid w:val="00760B67"/>
    <w:rsid w:val="00760BBD"/>
    <w:rsid w:val="007644C0"/>
    <w:rsid w:val="007646D5"/>
    <w:rsid w:val="00764F7C"/>
    <w:rsid w:val="0076548C"/>
    <w:rsid w:val="0076722C"/>
    <w:rsid w:val="00767F9A"/>
    <w:rsid w:val="0077768C"/>
    <w:rsid w:val="00777717"/>
    <w:rsid w:val="0078008C"/>
    <w:rsid w:val="0078234C"/>
    <w:rsid w:val="00782521"/>
    <w:rsid w:val="007869BE"/>
    <w:rsid w:val="00786A1D"/>
    <w:rsid w:val="007879C4"/>
    <w:rsid w:val="007903E5"/>
    <w:rsid w:val="007936DD"/>
    <w:rsid w:val="00794BBB"/>
    <w:rsid w:val="00796E82"/>
    <w:rsid w:val="007B09A6"/>
    <w:rsid w:val="007B1BB4"/>
    <w:rsid w:val="007B22DD"/>
    <w:rsid w:val="007B32C6"/>
    <w:rsid w:val="007B3ED6"/>
    <w:rsid w:val="007B773E"/>
    <w:rsid w:val="007B7F56"/>
    <w:rsid w:val="007C0C42"/>
    <w:rsid w:val="007C146B"/>
    <w:rsid w:val="007C1C87"/>
    <w:rsid w:val="007C3A7E"/>
    <w:rsid w:val="007C3C0A"/>
    <w:rsid w:val="007C64B3"/>
    <w:rsid w:val="007C7397"/>
    <w:rsid w:val="007D00F7"/>
    <w:rsid w:val="007D04F2"/>
    <w:rsid w:val="007D1569"/>
    <w:rsid w:val="007D5867"/>
    <w:rsid w:val="007D748D"/>
    <w:rsid w:val="007E12EF"/>
    <w:rsid w:val="007E1622"/>
    <w:rsid w:val="007E5A17"/>
    <w:rsid w:val="007E639F"/>
    <w:rsid w:val="007E7422"/>
    <w:rsid w:val="007E7DC3"/>
    <w:rsid w:val="007F1D39"/>
    <w:rsid w:val="007F2845"/>
    <w:rsid w:val="007F659C"/>
    <w:rsid w:val="008002BC"/>
    <w:rsid w:val="008029AE"/>
    <w:rsid w:val="00804C02"/>
    <w:rsid w:val="008132C3"/>
    <w:rsid w:val="00814799"/>
    <w:rsid w:val="00816A14"/>
    <w:rsid w:val="00817E29"/>
    <w:rsid w:val="00821BC7"/>
    <w:rsid w:val="008224FB"/>
    <w:rsid w:val="00823A18"/>
    <w:rsid w:val="008311EE"/>
    <w:rsid w:val="00832374"/>
    <w:rsid w:val="00834E1F"/>
    <w:rsid w:val="00837267"/>
    <w:rsid w:val="00837635"/>
    <w:rsid w:val="0084058B"/>
    <w:rsid w:val="00840C02"/>
    <w:rsid w:val="00841155"/>
    <w:rsid w:val="00847731"/>
    <w:rsid w:val="00850060"/>
    <w:rsid w:val="00865BD9"/>
    <w:rsid w:val="00867F32"/>
    <w:rsid w:val="00870297"/>
    <w:rsid w:val="00870834"/>
    <w:rsid w:val="00873FD4"/>
    <w:rsid w:val="008740FE"/>
    <w:rsid w:val="00874DAF"/>
    <w:rsid w:val="00875144"/>
    <w:rsid w:val="00875628"/>
    <w:rsid w:val="0087584B"/>
    <w:rsid w:val="00875C5F"/>
    <w:rsid w:val="00876F39"/>
    <w:rsid w:val="008901C4"/>
    <w:rsid w:val="008902BD"/>
    <w:rsid w:val="0089171F"/>
    <w:rsid w:val="00892A79"/>
    <w:rsid w:val="00894CA3"/>
    <w:rsid w:val="00895AD6"/>
    <w:rsid w:val="00896928"/>
    <w:rsid w:val="00897D84"/>
    <w:rsid w:val="008A1810"/>
    <w:rsid w:val="008A2418"/>
    <w:rsid w:val="008A31B8"/>
    <w:rsid w:val="008A58F9"/>
    <w:rsid w:val="008A5C18"/>
    <w:rsid w:val="008A6AA7"/>
    <w:rsid w:val="008B4855"/>
    <w:rsid w:val="008B486C"/>
    <w:rsid w:val="008C10DA"/>
    <w:rsid w:val="008C1728"/>
    <w:rsid w:val="008C2669"/>
    <w:rsid w:val="008C404F"/>
    <w:rsid w:val="008D0CA6"/>
    <w:rsid w:val="008D0E76"/>
    <w:rsid w:val="008D4686"/>
    <w:rsid w:val="008E01A7"/>
    <w:rsid w:val="008E550F"/>
    <w:rsid w:val="008E7312"/>
    <w:rsid w:val="008F455D"/>
    <w:rsid w:val="008F6393"/>
    <w:rsid w:val="008F6F0F"/>
    <w:rsid w:val="00902321"/>
    <w:rsid w:val="009035FB"/>
    <w:rsid w:val="0090453E"/>
    <w:rsid w:val="0090541A"/>
    <w:rsid w:val="00912FCF"/>
    <w:rsid w:val="00913914"/>
    <w:rsid w:val="00915F62"/>
    <w:rsid w:val="0091657D"/>
    <w:rsid w:val="00916D21"/>
    <w:rsid w:val="009179F3"/>
    <w:rsid w:val="00917D0D"/>
    <w:rsid w:val="00920E42"/>
    <w:rsid w:val="00921CB2"/>
    <w:rsid w:val="00922C45"/>
    <w:rsid w:val="009231A0"/>
    <w:rsid w:val="0092450D"/>
    <w:rsid w:val="00931135"/>
    <w:rsid w:val="009320F7"/>
    <w:rsid w:val="009326F9"/>
    <w:rsid w:val="009330D6"/>
    <w:rsid w:val="00933B18"/>
    <w:rsid w:val="009348D8"/>
    <w:rsid w:val="00936541"/>
    <w:rsid w:val="00937339"/>
    <w:rsid w:val="00940369"/>
    <w:rsid w:val="00943391"/>
    <w:rsid w:val="00944260"/>
    <w:rsid w:val="00944E2E"/>
    <w:rsid w:val="00950976"/>
    <w:rsid w:val="00950F3C"/>
    <w:rsid w:val="00960EC9"/>
    <w:rsid w:val="00961FD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5C97"/>
    <w:rsid w:val="00986209"/>
    <w:rsid w:val="00986C05"/>
    <w:rsid w:val="00997679"/>
    <w:rsid w:val="0099776D"/>
    <w:rsid w:val="009A4AA3"/>
    <w:rsid w:val="009A63E4"/>
    <w:rsid w:val="009A6844"/>
    <w:rsid w:val="009A70E3"/>
    <w:rsid w:val="009B272E"/>
    <w:rsid w:val="009B48E0"/>
    <w:rsid w:val="009B51F7"/>
    <w:rsid w:val="009B6F18"/>
    <w:rsid w:val="009B707B"/>
    <w:rsid w:val="009C0F44"/>
    <w:rsid w:val="009C4F00"/>
    <w:rsid w:val="009C51A8"/>
    <w:rsid w:val="009C6A68"/>
    <w:rsid w:val="009D1791"/>
    <w:rsid w:val="009D4C37"/>
    <w:rsid w:val="009D558A"/>
    <w:rsid w:val="009D69A8"/>
    <w:rsid w:val="009D7516"/>
    <w:rsid w:val="009E23AE"/>
    <w:rsid w:val="009E23C4"/>
    <w:rsid w:val="009E30F0"/>
    <w:rsid w:val="009E5CAA"/>
    <w:rsid w:val="009E61F4"/>
    <w:rsid w:val="009E7FCC"/>
    <w:rsid w:val="009F122A"/>
    <w:rsid w:val="009F239E"/>
    <w:rsid w:val="009F4B3E"/>
    <w:rsid w:val="009F765C"/>
    <w:rsid w:val="00A013A4"/>
    <w:rsid w:val="00A0267F"/>
    <w:rsid w:val="00A0283E"/>
    <w:rsid w:val="00A0448E"/>
    <w:rsid w:val="00A10768"/>
    <w:rsid w:val="00A12504"/>
    <w:rsid w:val="00A1629F"/>
    <w:rsid w:val="00A16400"/>
    <w:rsid w:val="00A25345"/>
    <w:rsid w:val="00A25597"/>
    <w:rsid w:val="00A263A4"/>
    <w:rsid w:val="00A27CE7"/>
    <w:rsid w:val="00A33C33"/>
    <w:rsid w:val="00A42153"/>
    <w:rsid w:val="00A46966"/>
    <w:rsid w:val="00A47A93"/>
    <w:rsid w:val="00A47E13"/>
    <w:rsid w:val="00A5083C"/>
    <w:rsid w:val="00A53BF4"/>
    <w:rsid w:val="00A544D4"/>
    <w:rsid w:val="00A54AF1"/>
    <w:rsid w:val="00A56C7D"/>
    <w:rsid w:val="00A57878"/>
    <w:rsid w:val="00A61B54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008D"/>
    <w:rsid w:val="00A82828"/>
    <w:rsid w:val="00A84B75"/>
    <w:rsid w:val="00A90BD0"/>
    <w:rsid w:val="00A95C70"/>
    <w:rsid w:val="00A967B5"/>
    <w:rsid w:val="00AA0E7D"/>
    <w:rsid w:val="00AA0FE1"/>
    <w:rsid w:val="00AA10ED"/>
    <w:rsid w:val="00AA3435"/>
    <w:rsid w:val="00AA4BB8"/>
    <w:rsid w:val="00AA5824"/>
    <w:rsid w:val="00AB0550"/>
    <w:rsid w:val="00AB12A8"/>
    <w:rsid w:val="00AB186D"/>
    <w:rsid w:val="00AB1D9B"/>
    <w:rsid w:val="00AB7460"/>
    <w:rsid w:val="00AB7CA1"/>
    <w:rsid w:val="00AC096A"/>
    <w:rsid w:val="00AC2403"/>
    <w:rsid w:val="00AC2A61"/>
    <w:rsid w:val="00AC2DC4"/>
    <w:rsid w:val="00AD34CC"/>
    <w:rsid w:val="00AD3947"/>
    <w:rsid w:val="00AD5CC8"/>
    <w:rsid w:val="00AE21A3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06CF1"/>
    <w:rsid w:val="00B10666"/>
    <w:rsid w:val="00B12C4B"/>
    <w:rsid w:val="00B177A1"/>
    <w:rsid w:val="00B21508"/>
    <w:rsid w:val="00B21759"/>
    <w:rsid w:val="00B22410"/>
    <w:rsid w:val="00B23C34"/>
    <w:rsid w:val="00B24906"/>
    <w:rsid w:val="00B25EC8"/>
    <w:rsid w:val="00B27245"/>
    <w:rsid w:val="00B27EA1"/>
    <w:rsid w:val="00B313C4"/>
    <w:rsid w:val="00B320C5"/>
    <w:rsid w:val="00B37C35"/>
    <w:rsid w:val="00B37D45"/>
    <w:rsid w:val="00B40BC6"/>
    <w:rsid w:val="00B4173D"/>
    <w:rsid w:val="00B41968"/>
    <w:rsid w:val="00B41C97"/>
    <w:rsid w:val="00B427AC"/>
    <w:rsid w:val="00B5363C"/>
    <w:rsid w:val="00B5471D"/>
    <w:rsid w:val="00B55D63"/>
    <w:rsid w:val="00B606E4"/>
    <w:rsid w:val="00B61202"/>
    <w:rsid w:val="00B61BDF"/>
    <w:rsid w:val="00B61EBC"/>
    <w:rsid w:val="00B63AA7"/>
    <w:rsid w:val="00B63FBA"/>
    <w:rsid w:val="00B65EBD"/>
    <w:rsid w:val="00B67EC8"/>
    <w:rsid w:val="00B7120F"/>
    <w:rsid w:val="00B722F1"/>
    <w:rsid w:val="00B73BCE"/>
    <w:rsid w:val="00B75B8B"/>
    <w:rsid w:val="00B7683B"/>
    <w:rsid w:val="00B77F75"/>
    <w:rsid w:val="00B80049"/>
    <w:rsid w:val="00B82239"/>
    <w:rsid w:val="00B91280"/>
    <w:rsid w:val="00B94067"/>
    <w:rsid w:val="00BA09CB"/>
    <w:rsid w:val="00BA0A1E"/>
    <w:rsid w:val="00BA3556"/>
    <w:rsid w:val="00BA3737"/>
    <w:rsid w:val="00BA4937"/>
    <w:rsid w:val="00BA56C0"/>
    <w:rsid w:val="00BA5E4F"/>
    <w:rsid w:val="00BB2A5D"/>
    <w:rsid w:val="00BB3D31"/>
    <w:rsid w:val="00BB4F88"/>
    <w:rsid w:val="00BC5D4D"/>
    <w:rsid w:val="00BC65E4"/>
    <w:rsid w:val="00BC7FF1"/>
    <w:rsid w:val="00BD1B11"/>
    <w:rsid w:val="00BE1E56"/>
    <w:rsid w:val="00BE24D9"/>
    <w:rsid w:val="00BE63FA"/>
    <w:rsid w:val="00BE7937"/>
    <w:rsid w:val="00BE7BC1"/>
    <w:rsid w:val="00BE7D11"/>
    <w:rsid w:val="00BF127A"/>
    <w:rsid w:val="00BF6B2A"/>
    <w:rsid w:val="00BF7D57"/>
    <w:rsid w:val="00C01085"/>
    <w:rsid w:val="00C02076"/>
    <w:rsid w:val="00C0219A"/>
    <w:rsid w:val="00C04174"/>
    <w:rsid w:val="00C07830"/>
    <w:rsid w:val="00C11649"/>
    <w:rsid w:val="00C124B8"/>
    <w:rsid w:val="00C12A73"/>
    <w:rsid w:val="00C13285"/>
    <w:rsid w:val="00C2089A"/>
    <w:rsid w:val="00C2187A"/>
    <w:rsid w:val="00C22102"/>
    <w:rsid w:val="00C23A9E"/>
    <w:rsid w:val="00C32217"/>
    <w:rsid w:val="00C32DCA"/>
    <w:rsid w:val="00C33DD1"/>
    <w:rsid w:val="00C42A68"/>
    <w:rsid w:val="00C43935"/>
    <w:rsid w:val="00C44E21"/>
    <w:rsid w:val="00C51E16"/>
    <w:rsid w:val="00C52B05"/>
    <w:rsid w:val="00C57B6B"/>
    <w:rsid w:val="00C6028B"/>
    <w:rsid w:val="00C6210A"/>
    <w:rsid w:val="00C62E14"/>
    <w:rsid w:val="00C63450"/>
    <w:rsid w:val="00C638C1"/>
    <w:rsid w:val="00C66AFD"/>
    <w:rsid w:val="00C678D9"/>
    <w:rsid w:val="00C720B4"/>
    <w:rsid w:val="00C93B63"/>
    <w:rsid w:val="00C95450"/>
    <w:rsid w:val="00CA0B60"/>
    <w:rsid w:val="00CA1D4D"/>
    <w:rsid w:val="00CB1A6C"/>
    <w:rsid w:val="00CB28CE"/>
    <w:rsid w:val="00CB4256"/>
    <w:rsid w:val="00CB4FB8"/>
    <w:rsid w:val="00CB71EE"/>
    <w:rsid w:val="00CB7A82"/>
    <w:rsid w:val="00CC116B"/>
    <w:rsid w:val="00CD061D"/>
    <w:rsid w:val="00CD0E4E"/>
    <w:rsid w:val="00CD29A4"/>
    <w:rsid w:val="00CD3BF2"/>
    <w:rsid w:val="00CD4142"/>
    <w:rsid w:val="00CD4BF6"/>
    <w:rsid w:val="00CE1F71"/>
    <w:rsid w:val="00CE4834"/>
    <w:rsid w:val="00CE504F"/>
    <w:rsid w:val="00CE5CA0"/>
    <w:rsid w:val="00CF16AA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4EFD"/>
    <w:rsid w:val="00D17FE0"/>
    <w:rsid w:val="00D207A7"/>
    <w:rsid w:val="00D223EB"/>
    <w:rsid w:val="00D22C62"/>
    <w:rsid w:val="00D2567E"/>
    <w:rsid w:val="00D25D28"/>
    <w:rsid w:val="00D26988"/>
    <w:rsid w:val="00D274F4"/>
    <w:rsid w:val="00D30B5A"/>
    <w:rsid w:val="00D31380"/>
    <w:rsid w:val="00D321C6"/>
    <w:rsid w:val="00D367F5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6AD6"/>
    <w:rsid w:val="00D5709F"/>
    <w:rsid w:val="00D6193B"/>
    <w:rsid w:val="00D62341"/>
    <w:rsid w:val="00D62947"/>
    <w:rsid w:val="00D665D3"/>
    <w:rsid w:val="00D715E4"/>
    <w:rsid w:val="00D72566"/>
    <w:rsid w:val="00D72BEE"/>
    <w:rsid w:val="00D73C11"/>
    <w:rsid w:val="00D77AB6"/>
    <w:rsid w:val="00D87549"/>
    <w:rsid w:val="00D948B4"/>
    <w:rsid w:val="00D96460"/>
    <w:rsid w:val="00DA1A7A"/>
    <w:rsid w:val="00DA4905"/>
    <w:rsid w:val="00DA57D4"/>
    <w:rsid w:val="00DB0DCD"/>
    <w:rsid w:val="00DB0E7F"/>
    <w:rsid w:val="00DB258A"/>
    <w:rsid w:val="00DB5C10"/>
    <w:rsid w:val="00DB6DBA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4030"/>
    <w:rsid w:val="00DE514C"/>
    <w:rsid w:val="00DF01A3"/>
    <w:rsid w:val="00DF2D31"/>
    <w:rsid w:val="00DF5E73"/>
    <w:rsid w:val="00E0184C"/>
    <w:rsid w:val="00E06546"/>
    <w:rsid w:val="00E07E8E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4C4C"/>
    <w:rsid w:val="00E36786"/>
    <w:rsid w:val="00E407F2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67B78"/>
    <w:rsid w:val="00E70D9A"/>
    <w:rsid w:val="00E7357A"/>
    <w:rsid w:val="00E77739"/>
    <w:rsid w:val="00E820C7"/>
    <w:rsid w:val="00E83546"/>
    <w:rsid w:val="00E83854"/>
    <w:rsid w:val="00E84C6B"/>
    <w:rsid w:val="00E86A9B"/>
    <w:rsid w:val="00E86D1B"/>
    <w:rsid w:val="00E8722E"/>
    <w:rsid w:val="00E920BB"/>
    <w:rsid w:val="00E921C3"/>
    <w:rsid w:val="00E93584"/>
    <w:rsid w:val="00E9596B"/>
    <w:rsid w:val="00E95B0C"/>
    <w:rsid w:val="00E95E67"/>
    <w:rsid w:val="00E971A4"/>
    <w:rsid w:val="00EA04FE"/>
    <w:rsid w:val="00EA118A"/>
    <w:rsid w:val="00EA1D18"/>
    <w:rsid w:val="00EA276C"/>
    <w:rsid w:val="00EA3048"/>
    <w:rsid w:val="00EA41AD"/>
    <w:rsid w:val="00EB03B5"/>
    <w:rsid w:val="00EB064A"/>
    <w:rsid w:val="00EB0EC1"/>
    <w:rsid w:val="00EB1AA7"/>
    <w:rsid w:val="00EB303D"/>
    <w:rsid w:val="00EB3983"/>
    <w:rsid w:val="00EB44BC"/>
    <w:rsid w:val="00EC098B"/>
    <w:rsid w:val="00EC29D7"/>
    <w:rsid w:val="00EC42C8"/>
    <w:rsid w:val="00EC44F3"/>
    <w:rsid w:val="00EC52EE"/>
    <w:rsid w:val="00EC5636"/>
    <w:rsid w:val="00ED20BE"/>
    <w:rsid w:val="00EE032F"/>
    <w:rsid w:val="00EE166F"/>
    <w:rsid w:val="00EE28DE"/>
    <w:rsid w:val="00EE2CDA"/>
    <w:rsid w:val="00EE3056"/>
    <w:rsid w:val="00EE3BFF"/>
    <w:rsid w:val="00EE4B26"/>
    <w:rsid w:val="00EE6563"/>
    <w:rsid w:val="00EF0523"/>
    <w:rsid w:val="00EF116C"/>
    <w:rsid w:val="00EF1527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17EEE"/>
    <w:rsid w:val="00F21E6E"/>
    <w:rsid w:val="00F33451"/>
    <w:rsid w:val="00F35600"/>
    <w:rsid w:val="00F40180"/>
    <w:rsid w:val="00F42CBC"/>
    <w:rsid w:val="00F4405B"/>
    <w:rsid w:val="00F45D5D"/>
    <w:rsid w:val="00F47865"/>
    <w:rsid w:val="00F501A5"/>
    <w:rsid w:val="00F53583"/>
    <w:rsid w:val="00F539D2"/>
    <w:rsid w:val="00F55BC9"/>
    <w:rsid w:val="00F5683A"/>
    <w:rsid w:val="00F571C6"/>
    <w:rsid w:val="00F57D71"/>
    <w:rsid w:val="00F60CC9"/>
    <w:rsid w:val="00F61625"/>
    <w:rsid w:val="00F618D4"/>
    <w:rsid w:val="00F621FE"/>
    <w:rsid w:val="00F6568B"/>
    <w:rsid w:val="00F66854"/>
    <w:rsid w:val="00F66A31"/>
    <w:rsid w:val="00F706AB"/>
    <w:rsid w:val="00F729E4"/>
    <w:rsid w:val="00F73AA2"/>
    <w:rsid w:val="00F73E63"/>
    <w:rsid w:val="00F76598"/>
    <w:rsid w:val="00F816BE"/>
    <w:rsid w:val="00F818E9"/>
    <w:rsid w:val="00F81F79"/>
    <w:rsid w:val="00F8259E"/>
    <w:rsid w:val="00F82D5B"/>
    <w:rsid w:val="00F86592"/>
    <w:rsid w:val="00F90860"/>
    <w:rsid w:val="00F91950"/>
    <w:rsid w:val="00F92B96"/>
    <w:rsid w:val="00F938BF"/>
    <w:rsid w:val="00F95903"/>
    <w:rsid w:val="00F9684C"/>
    <w:rsid w:val="00F96EFD"/>
    <w:rsid w:val="00FA2834"/>
    <w:rsid w:val="00FA5B7F"/>
    <w:rsid w:val="00FA5FE7"/>
    <w:rsid w:val="00FA69E5"/>
    <w:rsid w:val="00FA7DB7"/>
    <w:rsid w:val="00FB12B7"/>
    <w:rsid w:val="00FB265B"/>
    <w:rsid w:val="00FB4195"/>
    <w:rsid w:val="00FB41A8"/>
    <w:rsid w:val="00FB561E"/>
    <w:rsid w:val="00FB7F26"/>
    <w:rsid w:val="00FC31E1"/>
    <w:rsid w:val="00FC4696"/>
    <w:rsid w:val="00FD6DE2"/>
    <w:rsid w:val="00FE23F7"/>
    <w:rsid w:val="00FE4A1D"/>
    <w:rsid w:val="00FE538E"/>
    <w:rsid w:val="00FE5D69"/>
    <w:rsid w:val="00FF5B0B"/>
    <w:rsid w:val="00FF6996"/>
    <w:rsid w:val="00FF706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FCB7B-5A2B-41B2-9755-5CD4694E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3169-497E-45C1-A585-71A7AE0A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5532</TotalTime>
  <Pages>1</Pages>
  <Words>14407</Words>
  <Characters>82120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91</cp:revision>
  <cp:lastPrinted>2022-12-21T08:50:00Z</cp:lastPrinted>
  <dcterms:created xsi:type="dcterms:W3CDTF">2021-12-06T06:59:00Z</dcterms:created>
  <dcterms:modified xsi:type="dcterms:W3CDTF">2022-12-27T09:54:00Z</dcterms:modified>
</cp:coreProperties>
</file>