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9B" w:rsidRPr="00D23C81" w:rsidRDefault="0080009B" w:rsidP="00D23C81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23C81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80009B" w:rsidRPr="00D23C81" w:rsidRDefault="0080009B" w:rsidP="00D23C81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D23C81" w:rsidRDefault="00D23C81" w:rsidP="00D23C81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23C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80009B" w:rsidRPr="00D23C81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80009B" w:rsidRPr="00D23C81" w:rsidRDefault="0080009B" w:rsidP="00D23C81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0009B" w:rsidRPr="00D23C81" w:rsidRDefault="0080009B" w:rsidP="00D23C81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D23C81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0009B" w:rsidRPr="00D23C81" w:rsidRDefault="0080009B" w:rsidP="00D23C81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0009B" w:rsidRPr="001C6B9C" w:rsidRDefault="00D23C81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C5011F" w:rsidRPr="00D23C81">
        <w:rPr>
          <w:rFonts w:ascii="Times New Roman" w:eastAsia="Times New Roman" w:hAnsi="Times New Roman" w:cs="Arial"/>
          <w:sz w:val="24"/>
          <w:szCs w:val="24"/>
          <w:lang w:eastAsia="ru-RU"/>
        </w:rPr>
        <w:t>06.12.2017</w:t>
      </w:r>
      <w:r w:rsidR="0080009B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C5011F" w:rsidRPr="00D23C81">
        <w:rPr>
          <w:rFonts w:ascii="Times New Roman" w:eastAsia="Times New Roman" w:hAnsi="Times New Roman" w:cs="Arial"/>
          <w:sz w:val="24"/>
          <w:szCs w:val="24"/>
          <w:lang w:eastAsia="ru-RU"/>
        </w:rPr>
        <w:t>884/12</w:t>
      </w:r>
    </w:p>
    <w:p w:rsidR="0080009B" w:rsidRPr="001C6B9C" w:rsidRDefault="0080009B" w:rsidP="0080009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C501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D23C8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D23C8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D23C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D23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ды» (в редакции постановлений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20.06.2017 № 415/6, от 18.07.2017 № 491/7, от 25.08.2017 № 590/8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E20D00" w:rsidRPr="001C6B9C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20D00" w:rsidRPr="001C6B9C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</w:t>
      </w:r>
      <w:r w:rsidR="0055520D">
        <w:rPr>
          <w:rFonts w:ascii="Times New Roman" w:hAnsi="Times New Roman"/>
          <w:sz w:val="24"/>
          <w:szCs w:val="24"/>
        </w:rPr>
        <w:t>0</w:t>
      </w:r>
      <w:r w:rsidR="00E20D00" w:rsidRPr="001C6B9C">
        <w:rPr>
          <w:rFonts w:ascii="Times New Roman" w:hAnsi="Times New Roman"/>
          <w:sz w:val="24"/>
          <w:szCs w:val="24"/>
        </w:rPr>
        <w:t>1</w:t>
      </w:r>
      <w:r w:rsidR="0055520D">
        <w:rPr>
          <w:rFonts w:ascii="Times New Roman" w:hAnsi="Times New Roman"/>
          <w:sz w:val="24"/>
          <w:szCs w:val="24"/>
        </w:rPr>
        <w:t>.01.</w:t>
      </w:r>
      <w:r w:rsidR="00E20D00" w:rsidRPr="001C6B9C">
        <w:rPr>
          <w:rFonts w:ascii="Times New Roman" w:hAnsi="Times New Roman"/>
          <w:sz w:val="24"/>
          <w:szCs w:val="24"/>
        </w:rPr>
        <w:t>2018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годов.</w:t>
      </w:r>
    </w:p>
    <w:p w:rsidR="001E0DA2" w:rsidRPr="00D23C81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D23C81" w:rsidRPr="00427A41">
          <w:rPr>
            <w:rStyle w:val="aff2"/>
            <w:rFonts w:ascii="Times New Roman" w:hAnsi="Times New Roman"/>
            <w:sz w:val="24"/>
            <w:szCs w:val="24"/>
            <w:lang w:val="en-US"/>
          </w:rPr>
          <w:t>www</w:t>
        </w:r>
        <w:r w:rsidR="00D23C81" w:rsidRPr="00427A41">
          <w:rPr>
            <w:rStyle w:val="aff2"/>
            <w:rFonts w:ascii="Times New Roman" w:hAnsi="Times New Roman"/>
            <w:sz w:val="24"/>
            <w:szCs w:val="24"/>
          </w:rPr>
          <w:t>.</w:t>
        </w:r>
        <w:r w:rsidR="00D23C81" w:rsidRPr="00427A41">
          <w:rPr>
            <w:rStyle w:val="aff2"/>
            <w:rFonts w:ascii="Times New Roman" w:hAnsi="Times New Roman"/>
            <w:sz w:val="24"/>
            <w:szCs w:val="24"/>
            <w:lang w:val="en-US"/>
          </w:rPr>
          <w:t>electrostal</w:t>
        </w:r>
        <w:r w:rsidR="00D23C81" w:rsidRPr="00427A41">
          <w:rPr>
            <w:rStyle w:val="aff2"/>
            <w:rFonts w:ascii="Times New Roman" w:hAnsi="Times New Roman"/>
            <w:sz w:val="24"/>
            <w:szCs w:val="24"/>
          </w:rPr>
          <w:t>.</w:t>
        </w:r>
        <w:r w:rsidR="00D23C81" w:rsidRPr="00427A41">
          <w:rPr>
            <w:rStyle w:val="aff2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23C81">
        <w:rPr>
          <w:rFonts w:ascii="Times New Roman" w:hAnsi="Times New Roman"/>
          <w:sz w:val="24"/>
          <w:szCs w:val="24"/>
        </w:rPr>
        <w:t xml:space="preserve">. </w:t>
      </w:r>
    </w:p>
    <w:p w:rsidR="001E0DA2" w:rsidRPr="001C6B9C" w:rsidRDefault="00730C40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D23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D23C81" w:rsidRDefault="001E0DA2" w:rsidP="00D23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Default="001E0DA2" w:rsidP="00D23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C81" w:rsidRDefault="00D23C81" w:rsidP="00D23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C81" w:rsidRPr="001C6B9C" w:rsidRDefault="00D23C81" w:rsidP="00D23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D23C81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D23C81">
          <w:headerReference w:type="default" r:id="rId9"/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D23C8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Pr="00D23C81">
        <w:rPr>
          <w:rFonts w:ascii="Times New Roman" w:eastAsia="Times New Roman" w:hAnsi="Times New Roman" w:cs="Arial"/>
          <w:sz w:val="24"/>
          <w:szCs w:val="24"/>
          <w:lang w:eastAsia="ru-RU"/>
        </w:rPr>
        <w:t>06.12.2017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D23C81">
        <w:rPr>
          <w:rFonts w:ascii="Times New Roman" w:eastAsia="Times New Roman" w:hAnsi="Times New Roman" w:cs="Arial"/>
          <w:sz w:val="24"/>
          <w:szCs w:val="24"/>
          <w:lang w:eastAsia="ru-RU"/>
        </w:rPr>
        <w:t>884/12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постановлений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20.06.2017 № 415/6,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18.07.2017 № 491/7, от 25.08.2017 № 590/8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Аксенова М.Н., начальник управления по организационной работе и общим вопросам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по организационной работе и общим вопросам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51401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314 331,9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527CF3" w:rsidP="00514012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73 </w:t>
            </w:r>
            <w:r w:rsidR="003C5085">
              <w:rPr>
                <w:rFonts w:ascii="Times New Roman" w:hAnsi="Times New Roman"/>
                <w:color w:val="000000"/>
              </w:rPr>
              <w:t>675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A60A2B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5</w:t>
            </w:r>
            <w:r w:rsidR="003C5085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3C5085">
              <w:rPr>
                <w:rFonts w:ascii="Times New Roman" w:hAnsi="Times New Roman"/>
                <w:color w:val="000000"/>
              </w:rPr>
              <w:t>94</w:t>
            </w:r>
            <w:r w:rsidRPr="0055520D">
              <w:rPr>
                <w:rFonts w:ascii="Times New Roman" w:hAnsi="Times New Roman"/>
                <w:color w:val="000000"/>
              </w:rPr>
              <w:t>7,</w:t>
            </w:r>
            <w:r w:rsidR="003C5085">
              <w:rPr>
                <w:rFonts w:ascii="Times New Roman" w:hAnsi="Times New Roman"/>
                <w:color w:val="000000"/>
              </w:rPr>
              <w:t>7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E24B56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  <w:r w:rsidR="00D10D4F" w:rsidRPr="0055520D">
              <w:rPr>
                <w:rFonts w:ascii="Times New Roman" w:hAnsi="Times New Roman"/>
                <w:color w:val="000000"/>
              </w:rPr>
              <w:t>0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E24B56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527CF3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51401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313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431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3564DF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3C5085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3C5085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3C5085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947,7</w:t>
            </w:r>
            <w:r w:rsidR="00527CF3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A60A2B" w:rsidP="003C508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3C5085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3C5085"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3C5085"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3D5BE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236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 (далее – реализация общесистемных мер);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6C0077" w:rsidRPr="006C0077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</w:rPr>
              <w:t>–</w:t>
            </w:r>
            <w:r w:rsidRPr="009021A5">
              <w:rPr>
                <w:rFonts w:ascii="Times New Roman" w:hAnsi="Times New Roman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9021A5" w:rsidRPr="009021A5" w:rsidTr="00BB2CCE">
        <w:trPr>
          <w:trHeight w:val="432"/>
        </w:trPr>
        <w:tc>
          <w:tcPr>
            <w:tcW w:w="597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9021A5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5F6248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базового показателя – </w:t>
            </w:r>
            <w:r w:rsidR="002E31C8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36FAF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36FAF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B36FAF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0"/>
          <w:headerReference w:type="first" r:id="rId1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 xml:space="preserve">Управление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5F4BC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Управление по организационной работе и общим вопросам, МФЦ 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>Управление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55520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20D">
              <w:rPr>
                <w:rFonts w:ascii="Times New Roman" w:hAnsi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7418C1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675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7418C1" w:rsidRPr="00EA7405" w:rsidTr="007418C1">
        <w:trPr>
          <w:trHeight w:val="1721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1250"/>
        </w:trPr>
        <w:tc>
          <w:tcPr>
            <w:tcW w:w="596" w:type="dxa"/>
            <w:vMerge/>
            <w:shd w:val="clear" w:color="auto" w:fill="auto"/>
            <w:vAlign w:val="center"/>
          </w:tcPr>
          <w:p w:rsidR="007418C1" w:rsidRPr="00EA7405" w:rsidRDefault="007418C1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7418C1" w:rsidRPr="00EA7405" w:rsidRDefault="007418C1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7418C1" w:rsidRPr="00EA7405" w:rsidRDefault="007418C1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 расходов на обеспечение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2 496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1976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7418C1" w:rsidRPr="00EA7405" w:rsidRDefault="007418C1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7,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7418C1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1870"/>
        </w:trPr>
        <w:tc>
          <w:tcPr>
            <w:tcW w:w="596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7418C1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7418C1" w:rsidRPr="00EA7405" w:rsidRDefault="007418C1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F5C13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BF5C13" w:rsidRPr="00EA7405" w:rsidRDefault="00BF5C13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Развитие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F5C13" w:rsidRPr="00EA7405" w:rsidRDefault="00E24B5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5C13" w:rsidRPr="00EA7405" w:rsidRDefault="00E24B56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2B442A" w:rsidRPr="00EA7405" w:rsidTr="007418C1">
        <w:trPr>
          <w:trHeight w:val="1649"/>
        </w:trPr>
        <w:tc>
          <w:tcPr>
            <w:tcW w:w="596" w:type="dxa"/>
            <w:vMerge/>
            <w:shd w:val="clear" w:color="auto" w:fill="auto"/>
          </w:tcPr>
          <w:p w:rsidR="002B442A" w:rsidRPr="00EA7405" w:rsidRDefault="002B442A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2B442A" w:rsidRPr="00EA7405" w:rsidRDefault="00E24B5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B442A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B442A" w:rsidRPr="00EA7405" w:rsidRDefault="00E24B56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B442A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F5C13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BF5C13" w:rsidRPr="00EA7405" w:rsidRDefault="00BF5C13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EA7405" w:rsidRDefault="00D10D4F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BF5C13" w:rsidRPr="00EA7405" w:rsidRDefault="00D10D4F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F5C13" w:rsidRPr="00EA7405" w:rsidTr="00EA7405">
        <w:trPr>
          <w:trHeight w:val="324"/>
        </w:trPr>
        <w:tc>
          <w:tcPr>
            <w:tcW w:w="596" w:type="dxa"/>
            <w:vMerge w:val="restart"/>
            <w:shd w:val="clear" w:color="auto" w:fill="auto"/>
          </w:tcPr>
          <w:p w:rsidR="00BF5C13" w:rsidRPr="00EA7405" w:rsidRDefault="00BF5C13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BF5C13" w:rsidRPr="00972241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Дооснащение материально-техническими средствами </w:t>
            </w:r>
            <w:r w:rsidR="005B7278"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–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F5C13" w:rsidRPr="00EA7405" w:rsidRDefault="00E24B5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F5C13" w:rsidRPr="00EA7405" w:rsidRDefault="00E24B56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 и сводной отчетности, МФЦ</w:t>
            </w:r>
          </w:p>
        </w:tc>
        <w:tc>
          <w:tcPr>
            <w:tcW w:w="2013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B442A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2B442A" w:rsidRPr="00EA7405" w:rsidRDefault="002B442A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2B442A" w:rsidRPr="00EA7405" w:rsidRDefault="00E24B56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B442A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B442A" w:rsidRPr="00EA7405" w:rsidRDefault="00E24B56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B442A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442A" w:rsidRPr="00EA7405" w:rsidRDefault="002B442A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F5C13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BF5C13" w:rsidRPr="00EA7405" w:rsidRDefault="00BF5C13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F5C13" w:rsidRPr="00EA7405" w:rsidRDefault="00D10D4F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BF5C13" w:rsidRPr="00EA7405" w:rsidRDefault="00D10D4F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F5C13" w:rsidRPr="00EA7405" w:rsidRDefault="00BF5C13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F00A7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E536D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73 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59 947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F00A7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536DA">
              <w:rPr>
                <w:rFonts w:ascii="Times New Roman" w:hAnsi="Times New Roman"/>
                <w:color w:val="000000"/>
                <w:sz w:val="21"/>
                <w:szCs w:val="21"/>
              </w:rPr>
              <w:t>431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536DA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E536D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59 947,70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54795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24B56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24B56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344D8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D23C81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EA7405" w:rsidRPr="00EA7405" w:rsidSect="00D23C81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28" w:rsidRDefault="00854328">
      <w:pPr>
        <w:spacing w:after="0" w:line="240" w:lineRule="auto"/>
      </w:pPr>
      <w:r>
        <w:separator/>
      </w:r>
    </w:p>
  </w:endnote>
  <w:endnote w:type="continuationSeparator" w:id="0">
    <w:p w:rsidR="00854328" w:rsidRDefault="0085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28" w:rsidRDefault="00854328">
      <w:pPr>
        <w:spacing w:after="0" w:line="240" w:lineRule="auto"/>
      </w:pPr>
      <w:r>
        <w:separator/>
      </w:r>
    </w:p>
  </w:footnote>
  <w:footnote w:type="continuationSeparator" w:id="0">
    <w:p w:rsidR="00854328" w:rsidRDefault="0085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F07AD0" w:rsidRDefault="0034077B">
        <w:pPr>
          <w:pStyle w:val="a5"/>
          <w:jc w:val="center"/>
        </w:pPr>
        <w:r>
          <w:fldChar w:fldCharType="begin"/>
        </w:r>
        <w:r w:rsidR="00F07AD0">
          <w:instrText>PAGE   \* MERGEFORMAT</w:instrText>
        </w:r>
        <w:r>
          <w:fldChar w:fldCharType="separate"/>
        </w:r>
        <w:r w:rsidR="00D23C81">
          <w:rPr>
            <w:noProof/>
          </w:rPr>
          <w:t>6</w:t>
        </w:r>
        <w: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7418C1" w:rsidRDefault="0034077B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D23C81">
          <w:rPr>
            <w:noProof/>
          </w:rPr>
          <w:t>11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Pr="00C27F75" w:rsidRDefault="00F07AD0">
    <w:pPr>
      <w:pStyle w:val="13"/>
      <w:jc w:val="center"/>
      <w:rPr>
        <w:rFonts w:ascii="Times New Roman" w:hAnsi="Times New Roman"/>
      </w:rPr>
    </w:pPr>
    <w:r>
      <w:rPr>
        <w:rFonts w:ascii="Times New Roman" w:hAnsi="Times New Roman"/>
      </w:rPr>
      <w:t>9</w:t>
    </w:r>
  </w:p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31C8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077B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063D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4328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30E6"/>
    <w:rsid w:val="009944ED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1F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02FF"/>
    <w:rsid w:val="00D23C81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EE5B4-6841-4611-80BE-36C2AF7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3229-3277-456B-BCB4-A9F5717C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27</cp:revision>
  <cp:lastPrinted>2017-12-07T09:00:00Z</cp:lastPrinted>
  <dcterms:created xsi:type="dcterms:W3CDTF">2017-11-27T07:01:00Z</dcterms:created>
  <dcterms:modified xsi:type="dcterms:W3CDTF">2018-01-31T13:29:00Z</dcterms:modified>
</cp:coreProperties>
</file>