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8" w:rsidRDefault="00FC77F8" w:rsidP="00FC77F8">
      <w:pPr>
        <w:ind w:left="-1701" w:right="-567"/>
        <w:jc w:val="center"/>
      </w:pPr>
      <w:bookmarkStart w:id="0" w:name="_GoBack"/>
      <w:bookmarkEnd w:id="0"/>
    </w:p>
    <w:p w:rsidR="00FC77F8" w:rsidRDefault="00FC77F8" w:rsidP="00FC77F8">
      <w:pPr>
        <w:ind w:left="-1701" w:right="-567"/>
        <w:jc w:val="center"/>
      </w:pPr>
      <w:r>
        <w:rPr>
          <w:noProof/>
        </w:rPr>
        <w:drawing>
          <wp:inline distT="0" distB="0" distL="0" distR="0" wp14:anchorId="4E2A0312" wp14:editId="3CC4A5C7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F8" w:rsidRPr="00537687" w:rsidRDefault="00FC77F8" w:rsidP="00FC77F8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FC77F8" w:rsidRDefault="00FC77F8" w:rsidP="00FC77F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FC77F8" w:rsidRPr="00FC1C14" w:rsidRDefault="00FC77F8" w:rsidP="00FC77F8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FC77F8" w:rsidRDefault="00FC77F8" w:rsidP="00FC77F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C77F8" w:rsidRPr="0058294C" w:rsidRDefault="00FC77F8" w:rsidP="00FC77F8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FC77F8" w:rsidRDefault="00FC77F8" w:rsidP="00FC77F8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C77F8" w:rsidRPr="00537687" w:rsidRDefault="00FC77F8" w:rsidP="00FC77F8">
      <w:pPr>
        <w:ind w:left="-1701" w:right="-567"/>
        <w:jc w:val="center"/>
        <w:rPr>
          <w:b/>
        </w:rPr>
      </w:pPr>
    </w:p>
    <w:p w:rsidR="00FC77F8" w:rsidRPr="00B038F4" w:rsidRDefault="00FC77F8" w:rsidP="00FC77F8">
      <w:pPr>
        <w:ind w:left="-1701" w:right="-567"/>
        <w:jc w:val="center"/>
        <w:outlineLvl w:val="0"/>
        <w:rPr>
          <w:u w:val="single"/>
        </w:rPr>
      </w:pPr>
      <w:r>
        <w:t xml:space="preserve">_______________ №  </w:t>
      </w:r>
      <w:r w:rsidRPr="00341814">
        <w:t>_______</w:t>
      </w:r>
      <w:r>
        <w:t>_____</w:t>
      </w:r>
      <w:r w:rsidRPr="00341814">
        <w:t>_</w:t>
      </w:r>
    </w:p>
    <w:p w:rsidR="00FC77F8" w:rsidRPr="00537687" w:rsidRDefault="00FC77F8" w:rsidP="00FC77F8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FC77F8" w:rsidRDefault="00FC77F8" w:rsidP="00FC77F8">
      <w:pPr>
        <w:spacing w:line="240" w:lineRule="exact"/>
        <w:jc w:val="center"/>
        <w:rPr>
          <w:rFonts w:cs="Times New Roman"/>
        </w:rPr>
      </w:pPr>
      <w:r w:rsidRPr="00724C57">
        <w:t>О</w:t>
      </w:r>
      <w:r>
        <w:t>б утверждении</w:t>
      </w:r>
      <w:r w:rsidRPr="00724C57">
        <w:t xml:space="preserve"> муниципальн</w:t>
      </w:r>
      <w:r>
        <w:t>ой</w:t>
      </w:r>
      <w:r w:rsidRPr="00724C57">
        <w:t xml:space="preserve"> программ</w:t>
      </w:r>
      <w:r>
        <w:t>ы</w:t>
      </w:r>
      <w:r w:rsidRPr="00724C57"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C77F8" w:rsidRPr="00724C57" w:rsidRDefault="00FC77F8" w:rsidP="00FC77F8">
      <w:pPr>
        <w:spacing w:line="240" w:lineRule="exact"/>
        <w:jc w:val="center"/>
      </w:pPr>
    </w:p>
    <w:p w:rsidR="00BC1D81" w:rsidRDefault="00FC77F8" w:rsidP="00BC1D81">
      <w:pPr>
        <w:ind w:firstLine="567"/>
        <w:jc w:val="both"/>
      </w:pPr>
      <w:r w:rsidRPr="00724C57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>
        <w:t xml:space="preserve"> </w:t>
      </w:r>
      <w:r w:rsidRPr="00724C57">
        <w:t xml:space="preserve">651/8, </w:t>
      </w:r>
      <w:r w:rsidR="00BC1D81" w:rsidRPr="00BC1D81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№661/9, в связи с переходом с 2020 года на типовой бюджет муниципального образования Московской области, Администрация городского округа Электросталь Московской области ПОСТАНОВЛЯЕТ:</w:t>
      </w:r>
    </w:p>
    <w:p w:rsidR="00FC77F8" w:rsidRDefault="00FC77F8" w:rsidP="00BC1D81">
      <w:pPr>
        <w:ind w:firstLine="567"/>
        <w:jc w:val="both"/>
        <w:rPr>
          <w:rFonts w:cs="Times New Roman"/>
        </w:rPr>
      </w:pPr>
      <w:r w:rsidRPr="00724C57">
        <w:t xml:space="preserve">1. </w:t>
      </w:r>
      <w:r>
        <w:t>Утвердить</w:t>
      </w:r>
      <w:r w:rsidRPr="00724C57">
        <w:t xml:space="preserve"> муниципальн</w:t>
      </w:r>
      <w:r>
        <w:t>ую</w:t>
      </w:r>
      <w:r w:rsidRPr="00724C57">
        <w:t xml:space="preserve"> программ</w:t>
      </w:r>
      <w:r>
        <w:t>у</w:t>
      </w:r>
      <w:r w:rsidRPr="00724C57">
        <w:t xml:space="preserve"> </w:t>
      </w:r>
      <w:r w:rsidRPr="00915F62">
        <w:rPr>
          <w:rFonts w:cs="Times New Roman"/>
        </w:rPr>
        <w:t>городского</w:t>
      </w:r>
      <w:r>
        <w:rPr>
          <w:rFonts w:cs="Times New Roman"/>
        </w:rPr>
        <w:t xml:space="preserve"> округа Электросталь Московской </w:t>
      </w:r>
      <w:r w:rsidRPr="00915F62">
        <w:rPr>
          <w:rFonts w:cs="Times New Roman"/>
        </w:rPr>
        <w:t>области</w:t>
      </w:r>
      <w:r>
        <w:rPr>
          <w:rFonts w:cs="Times New Roman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BC1D81" w:rsidRPr="00BC1D81">
        <w:rPr>
          <w:rFonts w:cs="Times New Roman"/>
        </w:rPr>
        <w:t xml:space="preserve"> (</w:t>
      </w:r>
      <w:r w:rsidR="00BC1D81">
        <w:rPr>
          <w:rFonts w:cs="Times New Roman"/>
        </w:rPr>
        <w:t>прилагается)</w:t>
      </w:r>
      <w:r>
        <w:rPr>
          <w:rFonts w:cs="Times New Roman"/>
        </w:rPr>
        <w:t>.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C1D81">
        <w:rPr>
          <w:rFonts w:cs="Times New Roman"/>
        </w:rPr>
        <w:t>Досрочно прекратить реализацию муниципальн</w:t>
      </w:r>
      <w:r>
        <w:rPr>
          <w:rFonts w:cs="Times New Roman"/>
        </w:rPr>
        <w:t>ой программы</w:t>
      </w:r>
      <w:r w:rsidRPr="00BC1D81">
        <w:rPr>
          <w:rFonts w:cs="Times New Roman"/>
        </w:rPr>
        <w:t xml:space="preserve"> «Молодежь Электростали»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на 2017-2021 годы, утвержденную постановлением Администрации городского округа Электросталь Московской области от 14.12.2016 № 897/16</w:t>
      </w:r>
    </w:p>
    <w:p w:rsidR="00BC1D81" w:rsidRPr="00BC1D81" w:rsidRDefault="00BC1D81" w:rsidP="00BC1D81">
      <w:pPr>
        <w:ind w:firstLine="567"/>
        <w:jc w:val="both"/>
        <w:rPr>
          <w:rFonts w:cs="Times New Roman"/>
        </w:rPr>
      </w:pPr>
      <w:r w:rsidRPr="00BC1D81">
        <w:rPr>
          <w:rFonts w:cs="Times New Roman"/>
        </w:rPr>
        <w:t>3. Признать утратившим силу постановление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BC1D81">
        <w:rPr>
          <w:rFonts w:cs="Times New Roman"/>
        </w:rPr>
        <w:t>от 14.12.2016 № 897/16 (в редакции постановлений Администрации городского округа Электросталь Московской области от 28.07.2017 №534/7, от 27.09.2017 №678/9, от 06.12.2017 № 881/12, 28.12.2017 № 987/12, от 27.04.2018 № 359/4, от 14.08.2018 № 745/8, от 29.03.2019 №200/3</w:t>
      </w:r>
      <w:r w:rsidR="00810CA0">
        <w:rPr>
          <w:rFonts w:cs="Times New Roman"/>
        </w:rPr>
        <w:t>, от 24.10.2019 №764/10</w:t>
      </w:r>
      <w:r w:rsidRPr="00BC1D81">
        <w:rPr>
          <w:rFonts w:cs="Times New Roman"/>
        </w:rPr>
        <w:t>)</w:t>
      </w:r>
    </w:p>
    <w:p w:rsidR="00FC77F8" w:rsidRDefault="00810CA0" w:rsidP="00FC77F8">
      <w:pPr>
        <w:ind w:firstLine="567"/>
        <w:jc w:val="both"/>
      </w:pPr>
      <w:r>
        <w:t>4</w:t>
      </w:r>
      <w:r w:rsidR="00FC77F8" w:rsidRPr="00724C5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FC77F8" w:rsidRPr="00E57E25">
        <w:t>www.electrostal.ru</w:t>
      </w:r>
      <w:r w:rsidR="00FC77F8">
        <w:t>.</w:t>
      </w:r>
    </w:p>
    <w:p w:rsidR="00810CA0" w:rsidRDefault="00810CA0" w:rsidP="00FC77F8">
      <w:pPr>
        <w:ind w:firstLine="567"/>
        <w:jc w:val="both"/>
      </w:pPr>
      <w:r w:rsidRPr="00810CA0">
        <w:t>5. 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810CA0" w:rsidRPr="00810CA0" w:rsidRDefault="00810CA0" w:rsidP="00810CA0">
      <w:pPr>
        <w:ind w:firstLine="567"/>
        <w:jc w:val="both"/>
      </w:pPr>
      <w:r w:rsidRPr="00810CA0">
        <w:t>6.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10CA0" w:rsidRPr="00810CA0" w:rsidRDefault="00810CA0" w:rsidP="00810CA0">
      <w:pPr>
        <w:ind w:firstLine="567"/>
        <w:jc w:val="both"/>
      </w:pPr>
      <w:r w:rsidRPr="00810CA0">
        <w:lastRenderedPageBreak/>
        <w:t>7.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 Кокунову.</w:t>
      </w:r>
    </w:p>
    <w:p w:rsidR="00FC77F8" w:rsidRDefault="00FC77F8" w:rsidP="00FC77F8">
      <w:pPr>
        <w:jc w:val="both"/>
      </w:pPr>
    </w:p>
    <w:p w:rsidR="00FC77F8" w:rsidRPr="00724C57" w:rsidRDefault="00FC77F8" w:rsidP="00FC77F8">
      <w:pPr>
        <w:jc w:val="both"/>
      </w:pPr>
    </w:p>
    <w:p w:rsidR="00FC77F8" w:rsidRDefault="00FC77F8" w:rsidP="00FC77F8">
      <w:pPr>
        <w:jc w:val="both"/>
      </w:pPr>
      <w:r w:rsidRPr="00724C57">
        <w:t xml:space="preserve">Глава городского округа                                                            </w:t>
      </w:r>
      <w:r>
        <w:t xml:space="preserve">                             </w:t>
      </w:r>
      <w:r w:rsidRPr="00724C57">
        <w:t xml:space="preserve">   В.Я. Пекарев</w:t>
      </w:r>
    </w:p>
    <w:p w:rsidR="00FC77F8" w:rsidRDefault="00FC77F8" w:rsidP="00FC77F8">
      <w:pPr>
        <w:jc w:val="both"/>
      </w:pPr>
    </w:p>
    <w:p w:rsidR="000B742A" w:rsidRDefault="000B742A" w:rsidP="00FC77F8">
      <w:pPr>
        <w:jc w:val="both"/>
      </w:pPr>
    </w:p>
    <w:p w:rsidR="000B742A" w:rsidRDefault="000B742A" w:rsidP="00FC77F8">
      <w:pPr>
        <w:jc w:val="both"/>
      </w:pPr>
    </w:p>
    <w:p w:rsidR="000B742A" w:rsidRDefault="000B742A" w:rsidP="00FC77F8">
      <w:pPr>
        <w:jc w:val="both"/>
      </w:pPr>
    </w:p>
    <w:p w:rsidR="00FC77F8" w:rsidRDefault="00FC77F8" w:rsidP="00FC77F8">
      <w:pPr>
        <w:spacing w:line="240" w:lineRule="exact"/>
        <w:jc w:val="both"/>
      </w:pPr>
      <w:r>
        <w:t>Р</w:t>
      </w:r>
      <w:r w:rsidRPr="00724C57">
        <w:t xml:space="preserve">ассылка: Федорову А.В., Волковой И.Ю., Кокуновой М.Ю., Захарчуку П.Г., финансовому управлению, Ефанову Ф.А., Филиппенко С.А., </w:t>
      </w:r>
      <w:r>
        <w:t>Бобкову С.А.</w:t>
      </w:r>
      <w:r w:rsidRPr="00724C57">
        <w:t>-3, Даницкой Е.П.,</w:t>
      </w:r>
      <w:r>
        <w:t xml:space="preserve">         </w:t>
      </w:r>
      <w:r w:rsidRPr="00724C57">
        <w:t xml:space="preserve"> Елихину О.Н., в прокуратуру, ЭЛКОД, в регистр муниципальных </w:t>
      </w:r>
      <w:r>
        <w:t xml:space="preserve">нормативных </w:t>
      </w:r>
      <w:r w:rsidRPr="00724C57">
        <w:t>правовых актов, в дело.</w:t>
      </w: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FC77F8" w:rsidRDefault="00FC77F8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0B742A" w:rsidRDefault="000B742A" w:rsidP="00F1730A">
      <w:pPr>
        <w:tabs>
          <w:tab w:val="left" w:pos="851"/>
        </w:tabs>
        <w:ind w:left="5103"/>
        <w:rPr>
          <w:rFonts w:cs="Times New Roman"/>
        </w:rPr>
      </w:pP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9F239E" w:rsidRPr="00915F62" w:rsidRDefault="009F239E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1276"/>
        <w:gridCol w:w="1701"/>
      </w:tblGrid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Кокунова М. Ю.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938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2443A0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938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2443A0"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C77F8" w:rsidRPr="00163DE6" w:rsidTr="00C6670D">
        <w:tc>
          <w:tcPr>
            <w:tcW w:w="2269" w:type="dxa"/>
          </w:tcPr>
          <w:p w:rsidR="00FC77F8" w:rsidRPr="00163DE6" w:rsidRDefault="00FC77F8" w:rsidP="00FC77F8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FC77F8" w:rsidRPr="002102E9" w:rsidRDefault="00FC77F8" w:rsidP="00FC77F8">
            <w:pPr>
              <w:jc w:val="center"/>
            </w:pPr>
            <w:r w:rsidRPr="002102E9">
              <w:t>389438,2</w:t>
            </w:r>
          </w:p>
        </w:tc>
        <w:tc>
          <w:tcPr>
            <w:tcW w:w="1209" w:type="dxa"/>
          </w:tcPr>
          <w:p w:rsidR="00FC77F8" w:rsidRPr="002102E9" w:rsidRDefault="00FC77F8" w:rsidP="00FC77F8">
            <w:pPr>
              <w:jc w:val="center"/>
            </w:pPr>
            <w:r w:rsidRPr="002102E9">
              <w:t>86546,3</w:t>
            </w:r>
          </w:p>
        </w:tc>
        <w:tc>
          <w:tcPr>
            <w:tcW w:w="1201" w:type="dxa"/>
          </w:tcPr>
          <w:p w:rsidR="00FC77F8" w:rsidRPr="002102E9" w:rsidRDefault="00FC77F8" w:rsidP="00FC77F8">
            <w:pPr>
              <w:jc w:val="center"/>
            </w:pPr>
            <w:r w:rsidRPr="002102E9">
              <w:t>74103,6</w:t>
            </w:r>
          </w:p>
        </w:tc>
        <w:tc>
          <w:tcPr>
            <w:tcW w:w="1275" w:type="dxa"/>
          </w:tcPr>
          <w:p w:rsidR="00FC77F8" w:rsidRPr="002102E9" w:rsidRDefault="00FC77F8" w:rsidP="00FC77F8">
            <w:pPr>
              <w:jc w:val="center"/>
            </w:pPr>
            <w:r w:rsidRPr="002102E9">
              <w:t>75774,1</w:t>
            </w:r>
          </w:p>
        </w:tc>
        <w:tc>
          <w:tcPr>
            <w:tcW w:w="1276" w:type="dxa"/>
          </w:tcPr>
          <w:p w:rsidR="00FC77F8" w:rsidRPr="002102E9" w:rsidRDefault="00FC77F8" w:rsidP="00FC77F8">
            <w:pPr>
              <w:jc w:val="center"/>
            </w:pPr>
            <w:r w:rsidRPr="002102E9">
              <w:t>77042,1</w:t>
            </w:r>
          </w:p>
        </w:tc>
        <w:tc>
          <w:tcPr>
            <w:tcW w:w="1701" w:type="dxa"/>
          </w:tcPr>
          <w:p w:rsidR="00FC77F8" w:rsidRDefault="00FC77F8" w:rsidP="00FC77F8">
            <w:pPr>
              <w:jc w:val="center"/>
            </w:pPr>
            <w:r w:rsidRPr="002102E9">
              <w:t>77692,1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20E42" w:rsidRPr="00163DE6" w:rsidTr="002443A0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920E42" w:rsidRPr="00DC5A3D" w:rsidRDefault="00DC5A3D" w:rsidP="00DC5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5A3D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C77F8" w:rsidRPr="00163DE6" w:rsidTr="00C6670D">
        <w:tc>
          <w:tcPr>
            <w:tcW w:w="2269" w:type="dxa"/>
          </w:tcPr>
          <w:p w:rsidR="00FC77F8" w:rsidRPr="00163DE6" w:rsidRDefault="00FC77F8" w:rsidP="00FC7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FC77F8" w:rsidRPr="00C84AF0" w:rsidRDefault="00FC77F8" w:rsidP="00FC77F8">
            <w:pPr>
              <w:jc w:val="center"/>
            </w:pPr>
            <w:r w:rsidRPr="00C84AF0">
              <w:t>389438,2</w:t>
            </w:r>
          </w:p>
        </w:tc>
        <w:tc>
          <w:tcPr>
            <w:tcW w:w="1209" w:type="dxa"/>
          </w:tcPr>
          <w:p w:rsidR="00FC77F8" w:rsidRPr="00C84AF0" w:rsidRDefault="00FC77F8" w:rsidP="00FC77F8">
            <w:pPr>
              <w:jc w:val="center"/>
            </w:pPr>
            <w:r w:rsidRPr="00C84AF0">
              <w:t>86546,3</w:t>
            </w:r>
          </w:p>
        </w:tc>
        <w:tc>
          <w:tcPr>
            <w:tcW w:w="1201" w:type="dxa"/>
          </w:tcPr>
          <w:p w:rsidR="00FC77F8" w:rsidRPr="00C84AF0" w:rsidRDefault="00FC77F8" w:rsidP="00FC77F8">
            <w:pPr>
              <w:jc w:val="center"/>
            </w:pPr>
            <w:r w:rsidRPr="00C84AF0">
              <w:t>74103,6</w:t>
            </w:r>
          </w:p>
        </w:tc>
        <w:tc>
          <w:tcPr>
            <w:tcW w:w="1275" w:type="dxa"/>
          </w:tcPr>
          <w:p w:rsidR="00FC77F8" w:rsidRPr="00C84AF0" w:rsidRDefault="00FC77F8" w:rsidP="00FC77F8">
            <w:pPr>
              <w:jc w:val="center"/>
            </w:pPr>
            <w:r w:rsidRPr="00C84AF0">
              <w:t>75774,1</w:t>
            </w:r>
          </w:p>
        </w:tc>
        <w:tc>
          <w:tcPr>
            <w:tcW w:w="1276" w:type="dxa"/>
          </w:tcPr>
          <w:p w:rsidR="00FC77F8" w:rsidRPr="00C84AF0" w:rsidRDefault="00FC77F8" w:rsidP="00FC77F8">
            <w:pPr>
              <w:jc w:val="center"/>
            </w:pPr>
            <w:r w:rsidRPr="00C84AF0">
              <w:t>77042,1</w:t>
            </w:r>
          </w:p>
        </w:tc>
        <w:tc>
          <w:tcPr>
            <w:tcW w:w="1701" w:type="dxa"/>
          </w:tcPr>
          <w:p w:rsidR="00FC77F8" w:rsidRDefault="00FC77F8" w:rsidP="00FC77F8">
            <w:pPr>
              <w:jc w:val="center"/>
            </w:pPr>
            <w:r w:rsidRPr="00C84AF0">
              <w:t>77692,1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низкая вовлеченность молодежи во взаимодействие с молодежными общественными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>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>величение доли молодых граждан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вовлеченность молодых граждан в международное, межрегиональное и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>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 xml:space="preserve">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5231A2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1418"/>
        <w:gridCol w:w="1463"/>
        <w:gridCol w:w="1221"/>
        <w:gridCol w:w="1134"/>
        <w:gridCol w:w="1134"/>
        <w:gridCol w:w="1134"/>
        <w:gridCol w:w="1134"/>
        <w:gridCol w:w="1568"/>
      </w:tblGrid>
      <w:tr w:rsidR="00520DCB" w:rsidRPr="00F42C94" w:rsidTr="00E468CC">
        <w:tc>
          <w:tcPr>
            <w:tcW w:w="569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75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463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 xml:space="preserve">Базовое значение </w:t>
            </w:r>
          </w:p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568" w:type="dxa"/>
            <w:vMerge w:val="restart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42C94">
              <w:rPr>
                <w:rFonts w:ascii="Times New Roman" w:hAnsi="Times New Roman" w:cs="Times New Roman"/>
                <w:sz w:val="20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F42C94" w:rsidTr="00E468CC">
        <w:tc>
          <w:tcPr>
            <w:tcW w:w="569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:rsidR="00520DCB" w:rsidRPr="00F42C94" w:rsidRDefault="00520DCB" w:rsidP="00E468C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68" w:type="dxa"/>
            <w:vMerge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F42C94" w:rsidTr="00E468CC">
        <w:tc>
          <w:tcPr>
            <w:tcW w:w="569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3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F42C94" w:rsidTr="00E468CC">
        <w:tc>
          <w:tcPr>
            <w:tcW w:w="569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7" w:type="dxa"/>
            <w:gridSpan w:val="9"/>
          </w:tcPr>
          <w:p w:rsidR="00520DCB" w:rsidRPr="00F42C94" w:rsidRDefault="00520DCB" w:rsidP="00F461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461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461E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42C94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F461E5" w:rsidRPr="00843F10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Pr="00F42C9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6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6670D" w:rsidRPr="00F42C94" w:rsidTr="00C6670D">
        <w:tc>
          <w:tcPr>
            <w:tcW w:w="569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C6670D" w:rsidRPr="00F42C94" w:rsidRDefault="00C6670D" w:rsidP="00C667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775" w:type="dxa"/>
            <w:vAlign w:val="center"/>
          </w:tcPr>
          <w:p w:rsidR="00C6670D" w:rsidRPr="00F42C94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63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21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101,54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 w:rsidRPr="00C32C30">
              <w:rPr>
                <w:rFonts w:cs="Times New Roman"/>
              </w:rPr>
              <w:t>1</w:t>
            </w:r>
            <w:r>
              <w:rPr>
                <w:rFonts w:cs="Times New Roman"/>
              </w:rPr>
              <w:t>01,66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101,78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101,90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102,02</w:t>
            </w:r>
          </w:p>
        </w:tc>
        <w:tc>
          <w:tcPr>
            <w:tcW w:w="156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C6670D" w:rsidRPr="00F42C94" w:rsidTr="00C6670D">
        <w:tc>
          <w:tcPr>
            <w:tcW w:w="569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C6670D" w:rsidRPr="00F42C94" w:rsidRDefault="00C6670D" w:rsidP="00C667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775" w:type="dxa"/>
            <w:vAlign w:val="center"/>
          </w:tcPr>
          <w:p w:rsidR="00C6670D" w:rsidRPr="00F42C94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1463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4,00</w:t>
            </w:r>
          </w:p>
        </w:tc>
        <w:tc>
          <w:tcPr>
            <w:tcW w:w="1221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134" w:type="dxa"/>
            <w:vAlign w:val="center"/>
          </w:tcPr>
          <w:p w:rsidR="00C6670D" w:rsidRPr="00C32C30" w:rsidRDefault="00C6670D" w:rsidP="00C667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8,00</w:t>
            </w:r>
          </w:p>
        </w:tc>
        <w:tc>
          <w:tcPr>
            <w:tcW w:w="1568" w:type="dxa"/>
          </w:tcPr>
          <w:p w:rsidR="00C6670D" w:rsidRPr="00F42C94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F42C94" w:rsidRPr="00F42C94" w:rsidTr="00E468CC">
        <w:tc>
          <w:tcPr>
            <w:tcW w:w="569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F42C94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75" w:type="dxa"/>
          </w:tcPr>
          <w:p w:rsidR="00F42C94" w:rsidRPr="00F42C94" w:rsidRDefault="00F42C94" w:rsidP="00F42C94">
            <w:pPr>
              <w:jc w:val="center"/>
              <w:rPr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07</w:t>
            </w:r>
          </w:p>
        </w:tc>
      </w:tr>
      <w:tr w:rsidR="00F42C94" w:rsidRPr="00F42C94" w:rsidTr="00E468CC">
        <w:tc>
          <w:tcPr>
            <w:tcW w:w="569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F42C94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 xml:space="preserve">Наличие задолженности в муниципальный бюджет по платежам за установку и </w:t>
            </w: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эксплуатацию рекламных конструкций</w:t>
            </w:r>
          </w:p>
        </w:tc>
        <w:tc>
          <w:tcPr>
            <w:tcW w:w="1775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Приоритетный целевой показатель</w:t>
            </w:r>
          </w:p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463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2C94" w:rsidRPr="00F42C94" w:rsidRDefault="00F42C94" w:rsidP="00F42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</w:tcPr>
          <w:p w:rsidR="00F42C94" w:rsidRPr="00F42C94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07</w:t>
            </w:r>
          </w:p>
        </w:tc>
      </w:tr>
      <w:tr w:rsidR="00520DCB" w:rsidRPr="00F42C94" w:rsidTr="00E468CC">
        <w:tc>
          <w:tcPr>
            <w:tcW w:w="569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247" w:type="dxa"/>
            <w:gridSpan w:val="9"/>
          </w:tcPr>
          <w:p w:rsidR="009B69A5" w:rsidRPr="00F42C94" w:rsidRDefault="00F42C94" w:rsidP="00F42C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F42C9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F42C94">
              <w:rPr>
                <w:rFonts w:ascii="Times New Roman" w:hAnsi="Times New Roman" w:cs="Times New Roman"/>
                <w:szCs w:val="22"/>
              </w:rPr>
              <w:t xml:space="preserve"> «Молодежь Подмосковья»</w:t>
            </w:r>
          </w:p>
        </w:tc>
        <w:tc>
          <w:tcPr>
            <w:tcW w:w="1568" w:type="dxa"/>
          </w:tcPr>
          <w:p w:rsidR="00520DCB" w:rsidRPr="00F42C94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E043E" w:rsidRPr="00F42C94" w:rsidTr="00E468CC">
        <w:tc>
          <w:tcPr>
            <w:tcW w:w="569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F42C94" w:rsidRDefault="002E043E" w:rsidP="002E043E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F42C94" w:rsidRDefault="002E043E" w:rsidP="002E043E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</w:tcPr>
          <w:p w:rsidR="002E043E" w:rsidRPr="00F42C94" w:rsidRDefault="002E043E" w:rsidP="002E04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2C94">
              <w:rPr>
                <w:rFonts w:cs="Times New Roman"/>
                <w:sz w:val="20"/>
                <w:szCs w:val="18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Default="002E043E" w:rsidP="002E043E">
            <w:pPr>
              <w:jc w:val="center"/>
            </w:pPr>
            <w:r w:rsidRPr="005E06A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1568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Е8</w:t>
            </w:r>
          </w:p>
        </w:tc>
      </w:tr>
      <w:tr w:rsidR="002E043E" w:rsidRPr="00F42C94" w:rsidTr="00E468CC">
        <w:tc>
          <w:tcPr>
            <w:tcW w:w="569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F42C94" w:rsidRDefault="002E043E" w:rsidP="002E043E">
            <w:pPr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F42C94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F42C94">
              <w:rPr>
                <w:sz w:val="22"/>
                <w:szCs w:val="22"/>
              </w:rPr>
              <w:t xml:space="preserve"> </w:t>
            </w:r>
            <w:r w:rsidRPr="00F42C94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775" w:type="dxa"/>
          </w:tcPr>
          <w:p w:rsidR="002E043E" w:rsidRPr="00F42C94" w:rsidRDefault="002E043E" w:rsidP="002E04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2C94">
              <w:rPr>
                <w:rFonts w:cs="Times New Roman"/>
                <w:sz w:val="20"/>
                <w:szCs w:val="18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Default="002E043E" w:rsidP="002E043E">
            <w:pPr>
              <w:jc w:val="center"/>
            </w:pPr>
            <w:r w:rsidRPr="005E06A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1463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38</w:t>
            </w:r>
          </w:p>
        </w:tc>
        <w:tc>
          <w:tcPr>
            <w:tcW w:w="1134" w:type="dxa"/>
          </w:tcPr>
          <w:p w:rsidR="002E043E" w:rsidRPr="00AA1C86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1C86">
              <w:rPr>
                <w:rFonts w:ascii="Times New Roman" w:hAnsi="Times New Roman" w:cs="Times New Roman"/>
                <w:szCs w:val="22"/>
                <w:lang w:val="en-US"/>
              </w:rPr>
              <w:t>39</w:t>
            </w:r>
          </w:p>
        </w:tc>
        <w:tc>
          <w:tcPr>
            <w:tcW w:w="1568" w:type="dxa"/>
          </w:tcPr>
          <w:p w:rsidR="002E043E" w:rsidRPr="00F42C94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Е8</w:t>
            </w:r>
          </w:p>
        </w:tc>
      </w:tr>
      <w:tr w:rsidR="00322B19" w:rsidRPr="00F42C94" w:rsidTr="00E468CC">
        <w:tc>
          <w:tcPr>
            <w:tcW w:w="569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F42C94" w:rsidRDefault="00322B19" w:rsidP="00E468CC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775" w:type="dxa"/>
          </w:tcPr>
          <w:p w:rsidR="00322B19" w:rsidRPr="00F42C94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чел</w:t>
            </w:r>
            <w:r w:rsidR="002E043E">
              <w:rPr>
                <w:rFonts w:ascii="Times New Roman" w:hAnsi="Times New Roman" w:cs="Times New Roman"/>
                <w:szCs w:val="22"/>
              </w:rPr>
              <w:t>овек</w:t>
            </w:r>
          </w:p>
        </w:tc>
        <w:tc>
          <w:tcPr>
            <w:tcW w:w="1463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221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</w:tcPr>
          <w:p w:rsidR="00322B19" w:rsidRPr="00F42C94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568" w:type="dxa"/>
          </w:tcPr>
          <w:p w:rsidR="00322B19" w:rsidRPr="00F42C94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2C94">
              <w:rPr>
                <w:rFonts w:ascii="Times New Roman" w:hAnsi="Times New Roman" w:cs="Times New Roman"/>
                <w:szCs w:val="22"/>
              </w:rPr>
              <w:t>0</w:t>
            </w:r>
            <w:r w:rsidR="005A4D59" w:rsidRPr="00F42C9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122"/>
      </w:tblGrid>
      <w:tr w:rsidR="00520DCB" w:rsidRPr="00A55F79" w:rsidTr="00F42C94">
        <w:trPr>
          <w:trHeight w:val="759"/>
        </w:trPr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A55F79" w:rsidTr="00F42C94"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A55F79" w:rsidTr="00F42C94">
        <w:tc>
          <w:tcPr>
            <w:tcW w:w="693" w:type="dxa"/>
          </w:tcPr>
          <w:p w:rsidR="009D3356" w:rsidRPr="00A55F79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903" w:type="dxa"/>
            <w:gridSpan w:val="4"/>
          </w:tcPr>
          <w:p w:rsidR="009D3356" w:rsidRPr="00A55F79" w:rsidRDefault="009D3356" w:rsidP="00523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Подпрограмма 1 ««Развитие системы информирования населения о деятельности органов местного самоуправления г.о. Электросталь Московской области, создание доступной современной медиасреды»»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55F79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A55F79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A55F79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A55F79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A55F79" w:rsidRDefault="007C2A8F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V</w:t>
            </w:r>
            <w:r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(…) </w:t>
            </w:r>
            <w:r w:rsidRPr="00A55F79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A55F79" w:rsidRDefault="007C2A8F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A55F79" w:rsidRDefault="007C2A8F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A55F79" w:rsidRDefault="007C2A8F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A55F79" w:rsidRDefault="007C2A8F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A55F79" w:rsidRDefault="007C2A8F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A55F79" w:rsidRDefault="007C2A8F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A55F79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A55F79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A55F79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(</w:t>
            </w:r>
            <w:r w:rsidRPr="00A55F79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A55F79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A55F79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A55F79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A55F79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Ца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8" w:history="1">
              <w:r w:rsidRPr="00A55F79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A55F79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A55F79" w:rsidTr="00A55F79">
        <w:trPr>
          <w:trHeight w:val="41"/>
        </w:trPr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A55F79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A55F79" w:rsidRDefault="00A55F79" w:rsidP="00A55F7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A55F79" w:rsidRDefault="00A55F79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Pr="00A55F79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A55F79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A55F79" w:rsidRDefault="00A55F79" w:rsidP="00A55F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</w:t>
            </w:r>
            <w:r w:rsidRPr="00A55F79">
              <w:rPr>
                <w:rFonts w:cs="Times New Roman"/>
                <w:b/>
                <w:sz w:val="22"/>
                <w:szCs w:val="22"/>
                <w:vertAlign w:val="subscript"/>
              </w:rPr>
              <w:t>1</w:t>
            </w:r>
            <w:r w:rsidRPr="00A55F79">
              <w:rPr>
                <w:rFonts w:cs="Times New Roman"/>
                <w:b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A55F79" w:rsidRDefault="007C2A8F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A55F79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A55F7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A55F79" w:rsidRDefault="007C2A8F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A55F79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>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A55F79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Pr="00A55F79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Pr="00A55F79">
              <w:rPr>
                <w:rFonts w:cs="Times New Roman"/>
                <w:sz w:val="22"/>
                <w:szCs w:val="22"/>
              </w:rPr>
              <w:t xml:space="preserve">– </w:t>
            </w:r>
            <w:r w:rsidRPr="00A55F79">
              <w:rPr>
                <w:rFonts w:eastAsiaTheme="minorEastAsia" w:cs="Times New Roman"/>
                <w:sz w:val="22"/>
                <w:szCs w:val="22"/>
              </w:rPr>
              <w:t xml:space="preserve">общее число реакций (лайков, комментариев, репостов) на публикации, размещенные на официальных страницах и </w:t>
            </w:r>
            <w:r w:rsidRPr="00A55F79">
              <w:rPr>
                <w:rFonts w:eastAsiaTheme="minorEastAsia" w:cs="Times New Roman"/>
                <w:sz w:val="22"/>
                <w:szCs w:val="22"/>
              </w:rPr>
              <w:lastRenderedPageBreak/>
              <w:t>аккаунтах муниципального образования и главы муниципального образования за отчетный период;</w:t>
            </w:r>
          </w:p>
          <w:p w:rsidR="00A55F79" w:rsidRPr="00A55F79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A55F79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A55F79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A55F79" w:rsidRDefault="007C2A8F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A55F79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A55F79" w:rsidRDefault="007C2A8F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A55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A55F79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A55F79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A55F79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A55F79">
              <w:rPr>
                <w:rFonts w:eastAsiaTheme="minorEastAsia"/>
                <w:b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Theme="minorEastAsia"/>
                <w:b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A55F79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A55F79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&lt; 1, то </w:t>
            </w:r>
            <w:r w:rsidRPr="00A55F79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A55F79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при 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A55F79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A55F79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A55F79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Pr="00A55F79">
              <w:rPr>
                <w:szCs w:val="22"/>
              </w:rPr>
              <w:t xml:space="preserve"> </w:t>
            </w:r>
            <w:r w:rsidRPr="00A55F79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(лайков, комментариев).</w:t>
            </w:r>
          </w:p>
          <w:p w:rsidR="00A55F79" w:rsidRPr="00A55F79" w:rsidRDefault="00A55F79" w:rsidP="00A55F7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55F79">
              <w:rPr>
                <w:rFonts w:cs="Times New Roman"/>
                <w:b/>
                <w:sz w:val="22"/>
                <w:szCs w:val="22"/>
              </w:rPr>
              <w:t>А</w:t>
            </w:r>
            <w:r w:rsidRPr="00A55F79">
              <w:rPr>
                <w:rFonts w:cs="Times New Roman"/>
                <w:b/>
                <w:sz w:val="22"/>
                <w:szCs w:val="22"/>
                <w:vertAlign w:val="subscript"/>
              </w:rPr>
              <w:t>2</w:t>
            </w:r>
            <w:r w:rsidRPr="00A55F79">
              <w:rPr>
                <w:rFonts w:cs="Times New Roman"/>
                <w:b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A55F79" w:rsidRDefault="007C2A8F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A55F79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A55F79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A55F7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A55F79" w:rsidRDefault="007C2A8F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A55F79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A55F79" w:rsidRDefault="007C2A8F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A55F79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A55F79">
              <w:rPr>
                <w:rFonts w:eastAsiaTheme="minorEastAsia" w:cs="Times New Roman"/>
                <w:sz w:val="22"/>
                <w:szCs w:val="22"/>
              </w:rPr>
              <w:t>общее количество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A55F79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 xml:space="preserve">Наличие незаконных рекламных конструкций, установленных на территории городского округа </w:t>
            </w: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  <w:tc>
          <w:tcPr>
            <w:tcW w:w="1403" w:type="dxa"/>
          </w:tcPr>
          <w:p w:rsidR="002E043E" w:rsidRPr="00A55F79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FA7AD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где: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122" w:type="dxa"/>
          </w:tcPr>
          <w:p w:rsidR="002E043E" w:rsidRPr="00A55F79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 xml:space="preserve">Данные МКУ «Департамент по промышленности, </w:t>
            </w:r>
            <w:r w:rsidRPr="00A55F79">
              <w:rPr>
                <w:rFonts w:cs="Times New Roman"/>
                <w:sz w:val="22"/>
                <w:szCs w:val="22"/>
              </w:rPr>
              <w:lastRenderedPageBreak/>
              <w:t>инвестиционной политике и рекламе городского округа Электросталь»</w:t>
            </w:r>
          </w:p>
        </w:tc>
      </w:tr>
      <w:tr w:rsidR="002E043E" w:rsidRPr="00A55F79" w:rsidTr="00F42C94">
        <w:tc>
          <w:tcPr>
            <w:tcW w:w="693" w:type="dxa"/>
          </w:tcPr>
          <w:p w:rsidR="002E043E" w:rsidRPr="00A55F79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122" w:type="dxa"/>
          </w:tcPr>
          <w:p w:rsidR="002E043E" w:rsidRPr="00A55F79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A55F79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A55F79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6256" w:type="dxa"/>
          </w:tcPr>
          <w:p w:rsidR="00A55F79" w:rsidRPr="00FA7AD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 xml:space="preserve">Зрк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FA7ADF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FA7ADF">
              <w:rPr>
                <w:rFonts w:ascii="Times New Roman" w:hAnsi="Times New Roman"/>
              </w:rPr>
              <w:t>где:</w:t>
            </w:r>
          </w:p>
          <w:p w:rsidR="00A55F79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Зрк </w:t>
            </w:r>
            <w:r w:rsidRPr="00FA7AD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по отношению к общей сумм</w:t>
            </w:r>
            <w:r>
              <w:rPr>
                <w:rFonts w:ascii="Times New Roman" w:hAnsi="Times New Roman"/>
              </w:rPr>
              <w:t xml:space="preserve">е плановых годовых поступлений </w:t>
            </w:r>
            <w:r w:rsidRPr="00FA7ADF">
              <w:rPr>
                <w:rFonts w:ascii="Times New Roman" w:hAnsi="Times New Roman"/>
              </w:rPr>
              <w:t>в бюджет от платежей за установку и эксплуатацию рекламных конструкций, в процентах</w:t>
            </w:r>
            <w:r>
              <w:rPr>
                <w:rFonts w:ascii="Times New Roman" w:hAnsi="Times New Roman"/>
              </w:rPr>
              <w:t>;</w:t>
            </w:r>
          </w:p>
          <w:p w:rsidR="00A55F79" w:rsidRPr="00FA7AD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FA7ADF">
              <w:rPr>
                <w:rFonts w:ascii="Times New Roman" w:hAnsi="Times New Roman"/>
              </w:rPr>
              <w:t>З</w:t>
            </w:r>
            <w:r w:rsidRPr="00FA7ADF">
              <w:rPr>
                <w:rFonts w:ascii="Times New Roman" w:hAnsi="Times New Roman"/>
                <w:sz w:val="16"/>
                <w:szCs w:val="16"/>
              </w:rPr>
              <w:t>1</w:t>
            </w:r>
            <w:r w:rsidRPr="00FA7AD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FA7AD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FA7ADF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FA7ADF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FA7ADF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FA7ADF">
              <w:rPr>
                <w:rFonts w:ascii="Times New Roman" w:hAnsi="Times New Roman" w:cs="Times New Roman"/>
                <w:szCs w:val="22"/>
              </w:rPr>
              <w:t>З</w:t>
            </w:r>
            <w:r w:rsidRPr="00FA7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A7ADF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</w:t>
            </w:r>
            <w:r>
              <w:rPr>
                <w:rFonts w:ascii="Times New Roman" w:hAnsi="Times New Roman" w:cs="Times New Roman"/>
                <w:szCs w:val="22"/>
              </w:rPr>
              <w:t>еры по взысканию, в млн. рублей</w:t>
            </w:r>
            <w:r w:rsidRPr="00FA7ADF">
              <w:rPr>
                <w:rFonts w:ascii="Times New Roman" w:hAnsi="Times New Roman" w:cs="Times New Roman"/>
                <w:szCs w:val="22"/>
              </w:rPr>
              <w:t>: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lastRenderedPageBreak/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возбужде</w:t>
            </w:r>
            <w:r>
              <w:rPr>
                <w:rFonts w:ascii="Times New Roman" w:hAnsi="Times New Roman" w:cs="Times New Roman"/>
                <w:szCs w:val="22"/>
              </w:rPr>
              <w:t>но исполнительное производство;</w:t>
            </w:r>
          </w:p>
          <w:p w:rsidR="00A55F79" w:rsidRPr="00FA7AD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</w:t>
            </w:r>
            <w:r>
              <w:rPr>
                <w:rFonts w:ascii="Times New Roman" w:hAnsi="Times New Roman" w:cs="Times New Roman"/>
                <w:szCs w:val="22"/>
              </w:rPr>
              <w:t>дение должника и его имущества.</w:t>
            </w:r>
          </w:p>
          <w:p w:rsidR="002E043E" w:rsidRPr="00A55F79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7ADF">
              <w:rPr>
                <w:rFonts w:ascii="Times New Roman" w:hAnsi="Times New Roman" w:cs="Times New Roman"/>
                <w:szCs w:val="22"/>
              </w:rPr>
              <w:t>Прк – сумма плановых годовых поступлений в бюджет от платежей за установку и эксплуатацию рекл</w:t>
            </w:r>
            <w:r>
              <w:rPr>
                <w:rFonts w:ascii="Times New Roman" w:hAnsi="Times New Roman" w:cs="Times New Roman"/>
                <w:szCs w:val="22"/>
              </w:rPr>
              <w:t>амных конструкций, в млн. руб.</w:t>
            </w:r>
          </w:p>
        </w:tc>
        <w:tc>
          <w:tcPr>
            <w:tcW w:w="2122" w:type="dxa"/>
          </w:tcPr>
          <w:p w:rsidR="002E043E" w:rsidRPr="00A55F79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A55F79" w:rsidTr="00F42C94">
        <w:tc>
          <w:tcPr>
            <w:tcW w:w="693" w:type="dxa"/>
          </w:tcPr>
          <w:p w:rsidR="00520DCB" w:rsidRPr="00A55F79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781" w:type="dxa"/>
            <w:gridSpan w:val="3"/>
          </w:tcPr>
          <w:p w:rsidR="00520DCB" w:rsidRPr="00A55F79" w:rsidRDefault="009D3356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55F79">
              <w:rPr>
                <w:rFonts w:cs="Times New Roman"/>
                <w:sz w:val="22"/>
                <w:szCs w:val="22"/>
              </w:rPr>
              <w:t>Подпрограмма 4 «Молодежь Электростали»</w:t>
            </w:r>
          </w:p>
        </w:tc>
        <w:tc>
          <w:tcPr>
            <w:tcW w:w="2122" w:type="dxa"/>
          </w:tcPr>
          <w:p w:rsidR="00520DCB" w:rsidRPr="00A55F79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2.1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F42C94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BB600F" w:rsidRDefault="00BB600F" w:rsidP="00BB600F">
            <w:pPr>
              <w:jc w:val="center"/>
              <w:rPr>
                <w:sz w:val="22"/>
              </w:rPr>
            </w:pPr>
            <w:r w:rsidRPr="00BB600F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A55F79" w:rsidRDefault="007C2A8F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A55F79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A55F79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A55F79" w:rsidRDefault="007C2A8F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A55F79" w:rsidRDefault="007C2A8F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5F79">
              <w:rPr>
                <w:rFonts w:ascii="Times New Roman" w:hAnsi="Times New Roman" w:cs="Times New Roman"/>
                <w:szCs w:val="22"/>
              </w:rPr>
              <w:t>2.2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F42C94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F42C94">
              <w:rPr>
                <w:sz w:val="22"/>
                <w:szCs w:val="22"/>
              </w:rPr>
              <w:t xml:space="preserve"> </w:t>
            </w:r>
            <w:r w:rsidRPr="00F42C94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BB600F" w:rsidRDefault="00BB600F" w:rsidP="00BB600F">
            <w:pPr>
              <w:jc w:val="center"/>
              <w:rPr>
                <w:sz w:val="22"/>
              </w:rPr>
            </w:pPr>
            <w:r w:rsidRPr="00BB600F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A55F79" w:rsidRDefault="007C2A8F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A55F79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A55F79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A55F79" w:rsidRDefault="007C2A8F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A55F79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A55F79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A55F79" w:rsidRDefault="007C2A8F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A55F79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55F79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A55F79" w:rsidTr="00F42C94">
        <w:tc>
          <w:tcPr>
            <w:tcW w:w="693" w:type="dxa"/>
          </w:tcPr>
          <w:p w:rsidR="00BB600F" w:rsidRPr="00A55F79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F42C94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F42C94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BB600F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B600F">
              <w:rPr>
                <w:rFonts w:cs="Times New Roman"/>
                <w:sz w:val="22"/>
              </w:rPr>
              <w:t>Показатель формируется на основе данных</w:t>
            </w:r>
            <w:r>
              <w:rPr>
                <w:rFonts w:cs="Times New Roman"/>
                <w:sz w:val="22"/>
              </w:rPr>
              <w:t xml:space="preserve"> о </w:t>
            </w:r>
            <w:r>
              <w:rPr>
                <w:rFonts w:eastAsia="Arial Unicode MS" w:cs="Times New Roman"/>
                <w:sz w:val="22"/>
                <w:szCs w:val="22"/>
              </w:rPr>
              <w:t>к</w:t>
            </w:r>
            <w:r w:rsidRPr="00F42C94">
              <w:rPr>
                <w:rFonts w:eastAsia="Arial Unicode MS" w:cs="Times New Roman"/>
                <w:sz w:val="22"/>
                <w:szCs w:val="22"/>
              </w:rPr>
              <w:t>оличеств</w:t>
            </w:r>
            <w:r>
              <w:rPr>
                <w:rFonts w:eastAsia="Arial Unicode MS" w:cs="Times New Roman"/>
                <w:sz w:val="22"/>
                <w:szCs w:val="22"/>
              </w:rPr>
              <w:t>е</w:t>
            </w:r>
            <w:r w:rsidRPr="00F42C94">
              <w:rPr>
                <w:rFonts w:eastAsia="Arial Unicode MS" w:cs="Times New Roman"/>
                <w:sz w:val="22"/>
                <w:szCs w:val="22"/>
              </w:rPr>
              <w:t xml:space="preserve"> трудоустроенных подростков возрасте от 14 до 18 лет</w:t>
            </w:r>
            <w:r>
              <w:rPr>
                <w:rFonts w:cs="Times New Roman"/>
                <w:sz w:val="22"/>
              </w:rPr>
              <w:t xml:space="preserve">, </w:t>
            </w:r>
            <w:r w:rsidRPr="00BB600F">
              <w:rPr>
                <w:rFonts w:cs="Times New Roman"/>
                <w:sz w:val="22"/>
              </w:rPr>
              <w:t>представленных ответственным учреждением по работе с молодежью</w:t>
            </w:r>
          </w:p>
        </w:tc>
        <w:tc>
          <w:tcPr>
            <w:tcW w:w="2122" w:type="dxa"/>
          </w:tcPr>
          <w:p w:rsidR="00BB600F" w:rsidRPr="00A55F79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 xml:space="preserve">Данные </w:t>
            </w:r>
            <w:r w:rsidRPr="00BB600F">
              <w:rPr>
                <w:rFonts w:cs="Times New Roman"/>
                <w:sz w:val="22"/>
              </w:rPr>
              <w:t xml:space="preserve"> ответственн</w:t>
            </w:r>
            <w:r>
              <w:rPr>
                <w:rFonts w:cs="Times New Roman"/>
                <w:sz w:val="22"/>
              </w:rPr>
              <w:t xml:space="preserve">ого </w:t>
            </w:r>
            <w:r w:rsidRPr="00BB600F">
              <w:rPr>
                <w:rFonts w:cs="Times New Roman"/>
                <w:sz w:val="22"/>
              </w:rPr>
              <w:t>учреждени</w:t>
            </w:r>
            <w:r>
              <w:rPr>
                <w:rFonts w:cs="Times New Roman"/>
                <w:sz w:val="22"/>
              </w:rPr>
              <w:t>я</w:t>
            </w:r>
            <w:r w:rsidRPr="00BB600F">
              <w:rPr>
                <w:rFonts w:cs="Times New Roman"/>
                <w:sz w:val="22"/>
              </w:rPr>
              <w:t xml:space="preserve"> по работе с молодежью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5231A2">
          <w:pgSz w:w="16838" w:h="11906" w:orient="landscape"/>
          <w:pgMar w:top="851" w:right="1134" w:bottom="1701" w:left="1560" w:header="709" w:footer="709" w:gutter="0"/>
          <w:cols w:space="708"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5231A2">
      <w:pPr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5231A2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Sect="005231A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27A7D" w:rsidRDefault="00E27A7D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>создание доступной современной медиасреды</w:t>
      </w:r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1134"/>
      </w:tblGrid>
      <w:tr w:rsidR="002A1C15" w:rsidRPr="00025001" w:rsidTr="0049671C">
        <w:tc>
          <w:tcPr>
            <w:tcW w:w="2344" w:type="dxa"/>
          </w:tcPr>
          <w:p w:rsidR="002A1C15" w:rsidRPr="00025001" w:rsidRDefault="002A1C15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</w:tcPr>
          <w:p w:rsidR="002A1C15" w:rsidRPr="00025001" w:rsidRDefault="002A1C15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33A1">
              <w:rPr>
                <w:rFonts w:ascii="Times New Roman" w:hAnsi="Times New Roman" w:cs="Times New Roman"/>
                <w:szCs w:val="22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025001" w:rsidTr="0049671C">
        <w:tc>
          <w:tcPr>
            <w:tcW w:w="2344" w:type="dxa"/>
            <w:vMerge w:val="restart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012" w:type="dxa"/>
            <w:gridSpan w:val="6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15B9B" w:rsidRPr="00025001" w:rsidTr="0049671C">
        <w:tc>
          <w:tcPr>
            <w:tcW w:w="2344" w:type="dxa"/>
            <w:vMerge/>
          </w:tcPr>
          <w:p w:rsidR="00015B9B" w:rsidRPr="00025001" w:rsidRDefault="00015B9B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015B9B" w:rsidRPr="00025001" w:rsidRDefault="00015B9B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015B9B" w:rsidRPr="00025001" w:rsidRDefault="00015B9B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201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25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43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015B9B" w:rsidRPr="00025001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F433EC" w:rsidRPr="00025001" w:rsidTr="00BC1D81">
        <w:tc>
          <w:tcPr>
            <w:tcW w:w="2344" w:type="dxa"/>
            <w:vMerge/>
          </w:tcPr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F433EC" w:rsidRPr="002A1C15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C15">
              <w:rPr>
                <w:rFonts w:ascii="Times New Roman" w:hAnsi="Times New Roman" w:cs="Times New Roman"/>
                <w:szCs w:val="22"/>
              </w:rPr>
      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  <w:tc>
          <w:tcPr>
            <w:tcW w:w="3051" w:type="dxa"/>
          </w:tcPr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Default="00F433EC" w:rsidP="00F433EC">
            <w:pPr>
              <w:jc w:val="center"/>
            </w:pPr>
            <w:r w:rsidRPr="005B23FB">
              <w:t>36150</w:t>
            </w:r>
          </w:p>
        </w:tc>
      </w:tr>
      <w:tr w:rsidR="00F433EC" w:rsidRPr="00025001" w:rsidTr="00BC1D81">
        <w:tc>
          <w:tcPr>
            <w:tcW w:w="2344" w:type="dxa"/>
            <w:vMerge/>
          </w:tcPr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433EC" w:rsidRPr="00025001" w:rsidRDefault="00F433EC" w:rsidP="00F433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5B23FB" w:rsidRDefault="00F433EC" w:rsidP="00F433EC">
            <w:pPr>
              <w:jc w:val="center"/>
            </w:pPr>
            <w:r w:rsidRPr="005B23FB">
              <w:t>35500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Default="00F433EC" w:rsidP="00F433EC">
            <w:pPr>
              <w:jc w:val="center"/>
            </w:pPr>
            <w:r w:rsidRPr="005B23FB">
              <w:t>36150</w:t>
            </w:r>
          </w:p>
        </w:tc>
      </w:tr>
      <w:tr w:rsidR="00812F09" w:rsidRPr="00025001" w:rsidTr="00812F09">
        <w:tc>
          <w:tcPr>
            <w:tcW w:w="2344" w:type="dxa"/>
            <w:vMerge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34450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AF16CF" w:rsidRDefault="00812F09" w:rsidP="003C54A2">
            <w:pPr>
              <w:rPr>
                <w:rFonts w:cs="Times New Roman"/>
              </w:rPr>
            </w:pPr>
            <w:r>
              <w:rPr>
                <w:rFonts w:cs="Times New Roman"/>
              </w:rPr>
              <w:t>3510</w:t>
            </w:r>
            <w:r w:rsidRPr="00AF16CF">
              <w:rPr>
                <w:rFonts w:cs="Times New Roman"/>
              </w:rPr>
              <w:t>0</w:t>
            </w:r>
          </w:p>
        </w:tc>
      </w:tr>
      <w:tr w:rsidR="00812F09" w:rsidRPr="00025001" w:rsidTr="00812F09">
        <w:tc>
          <w:tcPr>
            <w:tcW w:w="2344" w:type="dxa"/>
            <w:vMerge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  <w:szCs w:val="18"/>
              </w:rPr>
            </w:pPr>
            <w:r>
              <w:rPr>
                <w:rFonts w:cs="Times New Roman"/>
                <w:bCs/>
                <w:szCs w:val="18"/>
              </w:rPr>
              <w:t>34450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AF16CF" w:rsidRDefault="00812F09" w:rsidP="003C54A2">
            <w:pPr>
              <w:rPr>
                <w:rFonts w:cs="Times New Roman"/>
              </w:rPr>
            </w:pPr>
            <w:r>
              <w:rPr>
                <w:rFonts w:cs="Times New Roman"/>
              </w:rPr>
              <w:t>3510</w:t>
            </w:r>
            <w:r w:rsidRPr="00AF16CF">
              <w:rPr>
                <w:rFonts w:cs="Times New Roman"/>
              </w:rPr>
              <w:t>0</w:t>
            </w:r>
          </w:p>
        </w:tc>
      </w:tr>
      <w:tr w:rsidR="00015B9B" w:rsidRPr="00025001" w:rsidTr="0049671C">
        <w:tc>
          <w:tcPr>
            <w:tcW w:w="2344" w:type="dxa"/>
            <w:vMerge/>
          </w:tcPr>
          <w:p w:rsidR="00015B9B" w:rsidRPr="00025001" w:rsidRDefault="00015B9B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5B9B" w:rsidRPr="00025001" w:rsidRDefault="00015B9B" w:rsidP="000C38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025001" w:rsidTr="0049671C">
        <w:tc>
          <w:tcPr>
            <w:tcW w:w="2344" w:type="dxa"/>
            <w:vMerge/>
          </w:tcPr>
          <w:p w:rsidR="00015B9B" w:rsidRPr="00025001" w:rsidRDefault="00015B9B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5B9B" w:rsidRDefault="00015B9B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015B9B" w:rsidRPr="00025001" w:rsidRDefault="00015B9B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812F09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025001" w:rsidTr="00812F09">
        <w:tc>
          <w:tcPr>
            <w:tcW w:w="2344" w:type="dxa"/>
            <w:vMerge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12F09" w:rsidRDefault="00812F09" w:rsidP="00812F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1000</w:t>
            </w:r>
          </w:p>
        </w:tc>
        <w:tc>
          <w:tcPr>
            <w:tcW w:w="1134" w:type="dxa"/>
            <w:vAlign w:val="center"/>
          </w:tcPr>
          <w:p w:rsidR="00812F09" w:rsidRPr="00AF16CF" w:rsidRDefault="00812F09" w:rsidP="003C54A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AF16CF">
              <w:rPr>
                <w:rFonts w:cs="Times New Roman"/>
              </w:rPr>
              <w:t>0</w:t>
            </w:r>
          </w:p>
        </w:tc>
      </w:tr>
      <w:tr w:rsidR="00812F09" w:rsidRPr="00025001" w:rsidTr="00812F09">
        <w:tc>
          <w:tcPr>
            <w:tcW w:w="2344" w:type="dxa"/>
            <w:vMerge/>
          </w:tcPr>
          <w:p w:rsidR="00812F09" w:rsidRPr="00025001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12F09" w:rsidRDefault="00812F09" w:rsidP="00812F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12F09" w:rsidRPr="00025001" w:rsidRDefault="00812F09" w:rsidP="00812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945370" w:rsidRDefault="003C54A2" w:rsidP="00812F0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945370" w:rsidRDefault="00812F09" w:rsidP="003C54A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1000</w:t>
            </w:r>
          </w:p>
        </w:tc>
        <w:tc>
          <w:tcPr>
            <w:tcW w:w="1134" w:type="dxa"/>
            <w:vAlign w:val="center"/>
          </w:tcPr>
          <w:p w:rsidR="00812F09" w:rsidRPr="00AF16CF" w:rsidRDefault="00812F09" w:rsidP="003C54A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AF16CF">
              <w:rPr>
                <w:rFonts w:cs="Times New Roman"/>
              </w:rPr>
              <w:t>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медиасреды,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</w:t>
      </w:r>
      <w:r w:rsidRPr="00015B9B">
        <w:rPr>
          <w:rFonts w:cs="Times New Roman"/>
        </w:rPr>
        <w:lastRenderedPageBreak/>
        <w:t>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8. Организация мониторинга СМИ, блогосферы,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>создание доступной современной медиасреды</w:t>
      </w:r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582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499"/>
        <w:gridCol w:w="1397"/>
        <w:gridCol w:w="1000"/>
        <w:gridCol w:w="979"/>
        <w:gridCol w:w="891"/>
        <w:gridCol w:w="891"/>
        <w:gridCol w:w="891"/>
        <w:gridCol w:w="891"/>
        <w:gridCol w:w="1768"/>
        <w:gridCol w:w="1423"/>
      </w:tblGrid>
      <w:tr w:rsidR="000C38BF" w:rsidRPr="000C38BF" w:rsidTr="00812F09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Сроки       </w:t>
            </w:r>
            <w:r w:rsidRPr="000C38BF">
              <w:rPr>
                <w:rFonts w:cs="Times New Roman"/>
                <w:sz w:val="18"/>
                <w:szCs w:val="18"/>
              </w:rPr>
              <w:br/>
              <w:t xml:space="preserve">исполнения </w:t>
            </w:r>
            <w:r w:rsidRPr="000C38BF">
              <w:rPr>
                <w:rFonts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Источники     </w:t>
            </w:r>
            <w:r w:rsidRPr="000C38BF">
              <w:rPr>
                <w:rFonts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6"/>
                <w:szCs w:val="18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0C38BF">
              <w:rPr>
                <w:rFonts w:cs="Times New Roman"/>
                <w:sz w:val="16"/>
                <w:szCs w:val="18"/>
              </w:rPr>
              <w:br/>
              <w:t>(тыс.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Всего </w:t>
            </w:r>
            <w:r w:rsidRPr="000C38BF">
              <w:rPr>
                <w:rFonts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Ответственный</w:t>
            </w:r>
            <w:r w:rsidRPr="000C38BF">
              <w:rPr>
                <w:rFonts w:cs="Times New Roman"/>
                <w:sz w:val="18"/>
                <w:szCs w:val="18"/>
              </w:rPr>
              <w:br/>
              <w:t>за выполнение</w:t>
            </w:r>
            <w:r w:rsidRPr="000C38BF">
              <w:rPr>
                <w:rFonts w:cs="Times New Roman"/>
                <w:sz w:val="18"/>
                <w:szCs w:val="18"/>
              </w:rPr>
              <w:br/>
              <w:t xml:space="preserve">мероприятия  </w:t>
            </w:r>
            <w:r w:rsidRPr="000C38BF">
              <w:rPr>
                <w:rFonts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Результаты  </w:t>
            </w:r>
            <w:r w:rsidRPr="000C38BF">
              <w:rPr>
                <w:rFonts w:cs="Times New Roman"/>
                <w:sz w:val="18"/>
                <w:szCs w:val="18"/>
              </w:rPr>
              <w:br/>
              <w:t xml:space="preserve">выполнения  </w:t>
            </w:r>
            <w:r w:rsidRPr="000C38BF">
              <w:rPr>
                <w:rFonts w:cs="Times New Roman"/>
                <w:sz w:val="18"/>
                <w:szCs w:val="18"/>
              </w:rPr>
              <w:br/>
              <w:t xml:space="preserve">мероприятий </w:t>
            </w:r>
            <w:r w:rsidRPr="000C38BF">
              <w:rPr>
                <w:rFonts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0C38BF" w:rsidRPr="000C38BF" w:rsidTr="00812F09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0C38B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68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0C38BF" w:rsidRPr="000C38BF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00B59" w:rsidRPr="000C38BF" w:rsidTr="00071BDD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 xml:space="preserve">Основное мероприятие 01. Информирование населения об основных событиях социально-экономического развития </w:t>
            </w:r>
            <w:r w:rsidRPr="005D4401">
              <w:rPr>
                <w:rFonts w:cs="Times New Roman"/>
                <w:iCs/>
                <w:sz w:val="18"/>
                <w:szCs w:val="18"/>
              </w:rPr>
              <w:lastRenderedPageBreak/>
              <w:t>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397" w:type="dxa"/>
            <w:shd w:val="clear" w:color="auto" w:fill="auto"/>
          </w:tcPr>
          <w:p w:rsidR="00E00B59" w:rsidRPr="001D5E1B" w:rsidRDefault="00E00B59" w:rsidP="00E00B59">
            <w:pPr>
              <w:jc w:val="center"/>
            </w:pPr>
            <w:r w:rsidRPr="001D5E1B">
              <w:t>29050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152600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35050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29900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30550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 </w:t>
            </w:r>
          </w:p>
        </w:tc>
      </w:tr>
      <w:tr w:rsidR="00E00B59" w:rsidRPr="000C38BF" w:rsidTr="00812F09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Средства бюджета городского округа Электросталь</w:t>
            </w:r>
          </w:p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</w:p>
          <w:p w:rsidR="00E00B59" w:rsidRPr="005D4401" w:rsidRDefault="00E00B59" w:rsidP="00E00B59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0B59" w:rsidRPr="001D5E1B" w:rsidRDefault="00E00B59" w:rsidP="00E00B59">
            <w:pPr>
              <w:jc w:val="center"/>
            </w:pPr>
            <w:r w:rsidRPr="001D5E1B">
              <w:lastRenderedPageBreak/>
              <w:t>29050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152600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35050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29900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0B59" w:rsidRPr="001D5E1B" w:rsidRDefault="00E00B59" w:rsidP="00E00B59">
            <w:r w:rsidRPr="001D5E1B">
              <w:t>30550</w:t>
            </w:r>
          </w:p>
        </w:tc>
        <w:tc>
          <w:tcPr>
            <w:tcW w:w="1768" w:type="dxa"/>
            <w:shd w:val="clear" w:color="auto" w:fill="auto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E00B59" w:rsidRPr="005D4401" w:rsidRDefault="00E00B59" w:rsidP="00E00B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7291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42750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10550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8550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7450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7650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7241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42500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10500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8500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</w:pPr>
            <w:r w:rsidRPr="003C54A2">
              <w:t>8500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7600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Размещение информационных материалов</w:t>
            </w:r>
            <w:r w:rsidRPr="005D4401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5D4401">
              <w:rPr>
                <w:rFonts w:cs="Times New Roman"/>
                <w:sz w:val="18"/>
                <w:szCs w:val="18"/>
              </w:rPr>
              <w:t>объемом не менее 600 полос формата А3 в год</w:t>
            </w:r>
          </w:p>
        </w:tc>
      </w:tr>
      <w:tr w:rsidR="000C38BF" w:rsidRPr="000C38BF" w:rsidTr="00812F09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C54A2" w:rsidRDefault="000C38BF" w:rsidP="000C38BF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</w:t>
            </w:r>
            <w:r w:rsidR="003C54A2">
              <w:rPr>
                <w:rFonts w:cs="Times New Roman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C54A2" w:rsidRDefault="000C38BF" w:rsidP="003C54A2">
            <w:pPr>
              <w:jc w:val="center"/>
              <w:rPr>
                <w:rFonts w:cs="Times New Roman"/>
              </w:rPr>
            </w:pPr>
            <w:r w:rsidRPr="003C54A2">
              <w:rPr>
                <w:rFonts w:cs="Times New Roman"/>
              </w:rPr>
              <w:t>50</w:t>
            </w:r>
          </w:p>
        </w:tc>
        <w:tc>
          <w:tcPr>
            <w:tcW w:w="1768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23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Размещение в печатных изданиях официальной информации о проведении торгов (аукционов) в сфере земельно-имущественных</w:t>
            </w:r>
            <w:r w:rsidRPr="005D4401">
              <w:rPr>
                <w:rFonts w:cs="Times New Roman"/>
                <w:sz w:val="18"/>
                <w:szCs w:val="18"/>
              </w:rPr>
              <w:br/>
              <w:t>отношений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5000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23000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5000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4000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4000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5000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3C54A2">
            <w:pPr>
              <w:jc w:val="center"/>
            </w:pPr>
            <w:r w:rsidRPr="003C54A2">
              <w:t>5000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15459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80650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17300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15300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15300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16250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16500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Размещение информационных материалов объемом не менее 16000 минут в год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3400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Размещение информационных материалов объемом не менее 4000 сообщений в год.</w:t>
            </w:r>
            <w:r w:rsidRPr="005D4401">
              <w:rPr>
                <w:rFonts w:cs="Times New Roman"/>
                <w:sz w:val="18"/>
                <w:szCs w:val="18"/>
              </w:rPr>
              <w:br/>
              <w:t>Создание и ведение информационных ресурсов и баз 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  <w:rPr>
                <w:rFonts w:cs="Times New Roman"/>
              </w:rPr>
            </w:pPr>
            <w: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2800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3C54A2" w:rsidP="009E5551">
            <w:pPr>
              <w:jc w:val="center"/>
            </w:pPr>
            <w:r>
              <w:t>700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Распространение информационных материалов о городском округе Электросталь Московской области объемом 3000 экземпляров в год к 1 мероприятию</w:t>
            </w:r>
          </w:p>
        </w:tc>
      </w:tr>
      <w:tr w:rsidR="000C38BF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 xml:space="preserve">Осуществление взаимодействия органов местного самоуправления </w:t>
            </w:r>
            <w:r w:rsidRPr="005D4401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40" w:type="dxa"/>
            <w:gridSpan w:val="7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768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 xml:space="preserve">Муниципальные бюджетные </w:t>
            </w:r>
            <w:r w:rsidRPr="005D4401">
              <w:rPr>
                <w:rFonts w:cs="Times New Roman"/>
                <w:sz w:val="18"/>
                <w:szCs w:val="18"/>
              </w:rPr>
              <w:lastRenderedPageBreak/>
              <w:t>учреждения и предприятия</w:t>
            </w:r>
          </w:p>
        </w:tc>
        <w:tc>
          <w:tcPr>
            <w:tcW w:w="1423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Обеспечение областными и муниципальны</w:t>
            </w:r>
            <w:r w:rsidRPr="005D4401">
              <w:rPr>
                <w:rFonts w:cs="Times New Roman"/>
                <w:sz w:val="18"/>
                <w:szCs w:val="18"/>
              </w:rPr>
              <w:lastRenderedPageBreak/>
              <w:t>ми печатными изданиями учреждения и предприятия городского округа Электросталь Московской области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Х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      </w:r>
            <w:r w:rsidRPr="005D4401">
              <w:rPr>
                <w:rFonts w:cs="Times New Roman"/>
                <w:sz w:val="18"/>
                <w:szCs w:val="18"/>
              </w:rPr>
              <w:br/>
              <w:t>Организация мониторинга СМИ, блогосферы, проведение медиа-исследований аудитории СМИ на территории городского округа Электросталь Московской области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</w:t>
            </w:r>
            <w:r w:rsidRPr="005D4401">
              <w:rPr>
                <w:rFonts w:cs="Times New Roman"/>
                <w:sz w:val="18"/>
                <w:szCs w:val="18"/>
              </w:rPr>
              <w:br/>
              <w:t>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2000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3C54A2" w:rsidRDefault="009E5551" w:rsidP="009E5551">
            <w:pPr>
              <w:jc w:val="center"/>
              <w:rPr>
                <w:iCs/>
                <w:sz w:val="22"/>
                <w:szCs w:val="22"/>
              </w:rPr>
            </w:pPr>
            <w:r w:rsidRPr="003C54A2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5D4401">
              <w:rPr>
                <w:rFonts w:cs="Times New Roman"/>
                <w:sz w:val="18"/>
                <w:szCs w:val="18"/>
              </w:rPr>
              <w:br/>
              <w:t xml:space="preserve">Московской области (12 аналитических отчетов в год). </w:t>
            </w:r>
            <w:r w:rsidRPr="005D4401">
              <w:rPr>
                <w:rFonts w:cs="Times New Roman"/>
                <w:sz w:val="18"/>
                <w:szCs w:val="18"/>
              </w:rPr>
              <w:lastRenderedPageBreak/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9E5551" w:rsidP="009E555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5283,9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1768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Х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  <w:r w:rsidRPr="005D4401">
              <w:rPr>
                <w:rFonts w:cs="Times New Roman"/>
                <w:iCs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9E5551" w:rsidP="009E555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5283,9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4600</w:t>
            </w:r>
          </w:p>
        </w:tc>
        <w:tc>
          <w:tcPr>
            <w:tcW w:w="1768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9E5551" w:rsidRPr="005D4401" w:rsidRDefault="009E5551" w:rsidP="009E5551">
            <w:pPr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9E5551" w:rsidP="009E5551">
            <w:pPr>
              <w:jc w:val="center"/>
              <w:rPr>
                <w:sz w:val="22"/>
                <w:szCs w:val="22"/>
              </w:rPr>
            </w:pPr>
            <w:r w:rsidRPr="009E5551">
              <w:rPr>
                <w:sz w:val="22"/>
                <w:szCs w:val="22"/>
              </w:rPr>
              <w:t>2</w:t>
            </w:r>
            <w:r w:rsidR="003C54A2">
              <w:rPr>
                <w:sz w:val="22"/>
                <w:szCs w:val="22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23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Отсутствие незаконных рекламных конструкций</w:t>
            </w:r>
            <w:r w:rsidRPr="005D4401">
              <w:rPr>
                <w:rFonts w:cs="Times New Roman"/>
                <w:sz w:val="18"/>
                <w:szCs w:val="18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9E5551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 xml:space="preserve">Проведение мероприятий, к которым обеспечено праздничное/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</w:t>
            </w:r>
            <w:r w:rsidRPr="005D4401">
              <w:rPr>
                <w:rFonts w:cs="Times New Roman"/>
                <w:sz w:val="18"/>
                <w:szCs w:val="18"/>
              </w:rPr>
              <w:lastRenderedPageBreak/>
              <w:t>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9E5551" w:rsidP="009E55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5551">
              <w:rPr>
                <w:sz w:val="22"/>
                <w:szCs w:val="22"/>
              </w:rPr>
              <w:t>3854,40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1" w:rsidRPr="009E5551" w:rsidRDefault="003C54A2" w:rsidP="009E5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768" w:type="dxa"/>
            <w:shd w:val="clear" w:color="auto" w:fill="auto"/>
            <w:hideMark/>
          </w:tcPr>
          <w:p w:rsidR="009E5551" w:rsidRPr="005D4401" w:rsidRDefault="009E5551" w:rsidP="009E555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рекламе»,</w:t>
            </w:r>
            <w:r w:rsidRPr="005D4401">
              <w:rPr>
                <w:rFonts w:cs="Times New Roman"/>
                <w:sz w:val="18"/>
                <w:szCs w:val="18"/>
              </w:rPr>
              <w:br/>
              <w:t>Комитет по строительству, дорожной деятельности и благоустройства</w:t>
            </w:r>
          </w:p>
        </w:tc>
        <w:tc>
          <w:tcPr>
            <w:tcW w:w="1423" w:type="dxa"/>
            <w:vMerge w:val="restart"/>
            <w:shd w:val="clear" w:color="000000" w:fill="FFFFFF"/>
            <w:hideMark/>
          </w:tcPr>
          <w:p w:rsidR="009E5551" w:rsidRPr="005D4401" w:rsidRDefault="009E5551" w:rsidP="009E5551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 xml:space="preserve">Обеспечение праздничного/ тематического оформления территории к  праздникам, согласно утверждённой на текущий год концепции </w:t>
            </w:r>
          </w:p>
        </w:tc>
      </w:tr>
      <w:tr w:rsidR="00812F09" w:rsidRPr="000C38BF" w:rsidTr="00812F09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lastRenderedPageBreak/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Мероприятие 9.1. Установка и размещение элементов праздничного и тематического оформления на территории городского округа</w:t>
            </w:r>
          </w:p>
        </w:tc>
        <w:tc>
          <w:tcPr>
            <w:tcW w:w="1214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544,4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68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23" w:type="dxa"/>
            <w:vMerge/>
            <w:vAlign w:val="center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12F09" w:rsidRPr="000C38BF" w:rsidTr="00812F09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Мероприятие 9.2.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000000" w:fill="FFFFFF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812F09" w:rsidP="00812F09">
            <w:pPr>
              <w:jc w:val="center"/>
              <w:rPr>
                <w:sz w:val="22"/>
                <w:szCs w:val="22"/>
              </w:rPr>
            </w:pPr>
            <w:r w:rsidRPr="00812F09">
              <w:rPr>
                <w:sz w:val="22"/>
                <w:szCs w:val="22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768" w:type="dxa"/>
            <w:shd w:val="clear" w:color="000000" w:fill="FFFFFF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23" w:type="dxa"/>
            <w:vMerge/>
            <w:vAlign w:val="center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12F09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1029,5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09" w:rsidRPr="00812F09" w:rsidRDefault="003C54A2" w:rsidP="0081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768" w:type="dxa"/>
            <w:shd w:val="clear" w:color="auto" w:fill="auto"/>
            <w:hideMark/>
          </w:tcPr>
          <w:p w:rsidR="00812F09" w:rsidRPr="005D4401" w:rsidRDefault="00812F09" w:rsidP="0081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23" w:type="dxa"/>
            <w:shd w:val="clear" w:color="000000" w:fill="FFFFFF"/>
            <w:hideMark/>
          </w:tcPr>
          <w:p w:rsidR="00812F09" w:rsidRPr="005D4401" w:rsidRDefault="00812F09" w:rsidP="00812F09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0C38BF" w:rsidRPr="000C38BF" w:rsidTr="00812F09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0C38BF" w:rsidRPr="005D4401" w:rsidRDefault="000C38BF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6940" w:type="dxa"/>
            <w:gridSpan w:val="7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768" w:type="dxa"/>
            <w:shd w:val="clear" w:color="auto" w:fill="auto"/>
            <w:hideMark/>
          </w:tcPr>
          <w:p w:rsidR="000C38BF" w:rsidRPr="005D4401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23" w:type="dxa"/>
            <w:shd w:val="clear" w:color="auto" w:fill="auto"/>
            <w:hideMark/>
          </w:tcPr>
          <w:p w:rsidR="000C38BF" w:rsidRPr="005D4401" w:rsidRDefault="005D4401" w:rsidP="000C38BF">
            <w:pPr>
              <w:rPr>
                <w:rFonts w:cs="Times New Roman"/>
                <w:sz w:val="18"/>
                <w:szCs w:val="18"/>
              </w:rPr>
            </w:pPr>
            <w:r w:rsidRPr="005D4401">
              <w:rPr>
                <w:rFonts w:cs="Times New Roman"/>
                <w:sz w:val="18"/>
                <w:szCs w:val="18"/>
              </w:rPr>
              <w:t>Отсутствие</w:t>
            </w:r>
            <w:r w:rsidR="000C38BF" w:rsidRPr="005D4401">
              <w:rPr>
                <w:rFonts w:cs="Times New Roman"/>
                <w:sz w:val="18"/>
                <w:szCs w:val="18"/>
              </w:rPr>
              <w:t xml:space="preserve"> задолженности за установку и эксплуатацию рекламных </w:t>
            </w:r>
            <w:r w:rsidRPr="005D4401">
              <w:rPr>
                <w:rFonts w:cs="Times New Roman"/>
                <w:sz w:val="18"/>
                <w:szCs w:val="18"/>
              </w:rPr>
              <w:t>конструкций</w:t>
            </w:r>
          </w:p>
        </w:tc>
      </w:tr>
      <w:tr w:rsidR="0024491C" w:rsidRPr="000C38BF" w:rsidTr="0024491C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4491C" w:rsidRPr="000C38BF" w:rsidRDefault="0024491C" w:rsidP="0024491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4491C" w:rsidRPr="000C38BF" w:rsidRDefault="0024491C" w:rsidP="0024491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2020-2024</w:t>
            </w:r>
          </w:p>
        </w:tc>
        <w:tc>
          <w:tcPr>
            <w:tcW w:w="1499" w:type="dxa"/>
            <w:shd w:val="clear" w:color="auto" w:fill="auto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35333,9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178100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40950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32500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33000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35500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Default="0024491C" w:rsidP="0024491C">
            <w:pPr>
              <w:jc w:val="center"/>
            </w:pPr>
            <w:r w:rsidRPr="001D0959">
              <w:t>36150</w:t>
            </w:r>
          </w:p>
        </w:tc>
        <w:tc>
          <w:tcPr>
            <w:tcW w:w="1768" w:type="dxa"/>
            <w:vMerge w:val="restart"/>
            <w:shd w:val="clear" w:color="auto" w:fill="auto"/>
            <w:noWrap/>
            <w:hideMark/>
          </w:tcPr>
          <w:p w:rsidR="0024491C" w:rsidRPr="000C38BF" w:rsidRDefault="0024491C" w:rsidP="0024491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vMerge w:val="restart"/>
            <w:shd w:val="clear" w:color="auto" w:fill="auto"/>
            <w:noWrap/>
            <w:vAlign w:val="center"/>
            <w:hideMark/>
          </w:tcPr>
          <w:p w:rsidR="0024491C" w:rsidRPr="000C38BF" w:rsidRDefault="0024491C" w:rsidP="0024491C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4491C" w:rsidRPr="000C38BF" w:rsidTr="0024491C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0C38BF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0C38B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0C38B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35333,9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178100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40950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32500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33000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Pr="001D0959" w:rsidRDefault="0024491C" w:rsidP="0024491C">
            <w:pPr>
              <w:jc w:val="center"/>
            </w:pPr>
            <w:r w:rsidRPr="001D0959">
              <w:t>35500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1C" w:rsidRDefault="0024491C" w:rsidP="0024491C">
            <w:pPr>
              <w:jc w:val="center"/>
            </w:pPr>
            <w:r w:rsidRPr="001D0959">
              <w:t>36150</w:t>
            </w:r>
          </w:p>
        </w:tc>
        <w:tc>
          <w:tcPr>
            <w:tcW w:w="1768" w:type="dxa"/>
            <w:vMerge/>
            <w:vAlign w:val="center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24491C" w:rsidRPr="000C38BF" w:rsidRDefault="0024491C" w:rsidP="0024491C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015B9B" w:rsidRDefault="00015B9B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0C38BF" w:rsidRPr="00025001" w:rsidTr="000C38BF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0C38BF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0C38BF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0C38BF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288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5231A2">
          <w:pgSz w:w="16838" w:h="11906" w:orient="landscape"/>
          <w:pgMar w:top="1134" w:right="567" w:bottom="1134" w:left="1560" w:header="709" w:footer="709" w:gutter="0"/>
          <w:pgNumType w:start="2"/>
          <w:cols w:space="708"/>
          <w:docGrid w:linePitch="360"/>
        </w:sectPr>
      </w:pPr>
    </w:p>
    <w:p w:rsidR="001153B7" w:rsidRPr="000C38BF" w:rsidRDefault="001153B7" w:rsidP="005231A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 xml:space="preserve">Характеристика проблем, решаемых посредством мероприятий подпрограммы 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9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0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1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2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3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124"/>
        <w:gridCol w:w="1134"/>
        <w:gridCol w:w="1255"/>
        <w:gridCol w:w="1020"/>
        <w:gridCol w:w="1107"/>
        <w:gridCol w:w="1135"/>
        <w:gridCol w:w="1134"/>
        <w:gridCol w:w="1460"/>
        <w:gridCol w:w="1611"/>
      </w:tblGrid>
      <w:tr w:rsidR="00E71477" w:rsidRPr="000C38BF" w:rsidTr="0024491C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0C38BF" w:rsidTr="0024491C">
        <w:tc>
          <w:tcPr>
            <w:tcW w:w="562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5A3F" w:rsidRPr="000C38BF" w:rsidTr="0024491C">
        <w:trPr>
          <w:trHeight w:val="2667"/>
        </w:trPr>
        <w:tc>
          <w:tcPr>
            <w:tcW w:w="562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</w:t>
            </w:r>
            <w:r w:rsidRPr="000C38BF">
              <w:rPr>
                <w:rFonts w:cs="Times New Roman"/>
                <w:sz w:val="18"/>
                <w:szCs w:val="18"/>
              </w:rPr>
              <w:t xml:space="preserve"> «</w:t>
            </w:r>
            <w:r w:rsidRPr="00E71477">
              <w:rPr>
                <w:rFonts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24491C" w:rsidRDefault="00401E4A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5A3F" w:rsidRPr="0024491C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148622,8</w:t>
            </w:r>
          </w:p>
          <w:p w:rsidR="00565A3F" w:rsidRPr="0024491C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5" w:type="dxa"/>
          </w:tcPr>
          <w:p w:rsidR="00565A3F" w:rsidRPr="0024491C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  <w:lang w:val="en-US"/>
              </w:rPr>
              <w:t>31804</w:t>
            </w:r>
            <w:r w:rsidR="0024491C" w:rsidRPr="0024491C">
              <w:rPr>
                <w:rFonts w:cs="Times New Roman"/>
                <w:sz w:val="22"/>
                <w:szCs w:val="22"/>
              </w:rPr>
              <w:t>,8</w:t>
            </w:r>
          </w:p>
        </w:tc>
        <w:tc>
          <w:tcPr>
            <w:tcW w:w="1020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29580,7</w:t>
            </w:r>
          </w:p>
        </w:tc>
        <w:tc>
          <w:tcPr>
            <w:tcW w:w="1107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135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134" w:type="dxa"/>
          </w:tcPr>
          <w:p w:rsidR="00565A3F" w:rsidRPr="0024491C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29079,1</w:t>
            </w:r>
          </w:p>
        </w:tc>
        <w:tc>
          <w:tcPr>
            <w:tcW w:w="1460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611" w:type="dxa"/>
          </w:tcPr>
          <w:p w:rsidR="00565A3F" w:rsidRPr="000C38B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0C38BF" w:rsidTr="0024491C">
        <w:trPr>
          <w:trHeight w:val="1396"/>
        </w:trPr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1160</w:t>
            </w:r>
          </w:p>
        </w:tc>
        <w:tc>
          <w:tcPr>
            <w:tcW w:w="1134" w:type="dxa"/>
          </w:tcPr>
          <w:p w:rsidR="00E71477" w:rsidRPr="0024491C" w:rsidRDefault="00CE02AC" w:rsidP="003455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3208,1</w:t>
            </w:r>
          </w:p>
        </w:tc>
        <w:tc>
          <w:tcPr>
            <w:tcW w:w="125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709,3</w:t>
            </w:r>
          </w:p>
        </w:tc>
        <w:tc>
          <w:tcPr>
            <w:tcW w:w="1020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637,0</w:t>
            </w:r>
          </w:p>
        </w:tc>
        <w:tc>
          <w:tcPr>
            <w:tcW w:w="1107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13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134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491C">
              <w:rPr>
                <w:rFonts w:cs="Times New Roman"/>
                <w:sz w:val="22"/>
                <w:szCs w:val="22"/>
              </w:rPr>
              <w:t>620,6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11" w:type="dxa"/>
            <w:vMerge w:val="restart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Проведение мероприятий по гражданско-патриотическому, духовно-нравственному воспитанию, а </w:t>
            </w: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также по вовлечению молодежи</w:t>
            </w:r>
            <w:r w:rsidRPr="000C38BF">
              <w:rPr>
                <w:rFonts w:cs="Times New Roman"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международное, межрегиональное и межмуниципальное сотрудничество</w:t>
            </w:r>
          </w:p>
        </w:tc>
      </w:tr>
      <w:tr w:rsidR="00E71477" w:rsidRPr="000C38BF" w:rsidTr="0024491C">
        <w:trPr>
          <w:trHeight w:val="1656"/>
        </w:trPr>
        <w:tc>
          <w:tcPr>
            <w:tcW w:w="562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9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</w:t>
            </w:r>
            <w:r>
              <w:rPr>
                <w:rFonts w:cs="Times New Roman"/>
                <w:sz w:val="18"/>
                <w:szCs w:val="18"/>
              </w:rPr>
              <w:t>ии и обмену опытом специалистов</w:t>
            </w:r>
          </w:p>
        </w:tc>
        <w:tc>
          <w:tcPr>
            <w:tcW w:w="1219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8BF"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11" w:type="dxa"/>
            <w:vMerge/>
            <w:vAlign w:val="center"/>
          </w:tcPr>
          <w:p w:rsidR="00E71477" w:rsidRPr="000C38BF" w:rsidRDefault="00E71477" w:rsidP="00E71477">
            <w:pPr>
              <w:rPr>
                <w:rFonts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0C38BF" w:rsidTr="0024491C">
        <w:tc>
          <w:tcPr>
            <w:tcW w:w="562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990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Проведение мероприятий по обеспечен</w:t>
            </w:r>
            <w:r>
              <w:rPr>
                <w:rFonts w:cs="Times New Roman"/>
                <w:sz w:val="18"/>
                <w:szCs w:val="18"/>
              </w:rPr>
              <w:t>ию занятости несовершеннолетних</w:t>
            </w:r>
          </w:p>
        </w:tc>
        <w:tc>
          <w:tcPr>
            <w:tcW w:w="1219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455AF" w:rsidRPr="0024491C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  <w:r w:rsidRPr="0024491C">
              <w:rPr>
                <w:rFonts w:cs="Times New Roman"/>
              </w:rPr>
              <w:t>10341,37</w:t>
            </w:r>
          </w:p>
        </w:tc>
        <w:tc>
          <w:tcPr>
            <w:tcW w:w="1134" w:type="dxa"/>
          </w:tcPr>
          <w:p w:rsidR="00CE02AC" w:rsidRPr="0024491C" w:rsidRDefault="00CE02AC" w:rsidP="0024491C">
            <w:pPr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500000</w:t>
            </w:r>
          </w:p>
          <w:p w:rsidR="003455AF" w:rsidRPr="0024491C" w:rsidRDefault="003455AF" w:rsidP="0024491C">
            <w:pPr>
              <w:jc w:val="center"/>
              <w:rPr>
                <w:rFonts w:cs="Times New Roman"/>
              </w:rPr>
            </w:pPr>
          </w:p>
        </w:tc>
        <w:tc>
          <w:tcPr>
            <w:tcW w:w="1255" w:type="dxa"/>
          </w:tcPr>
          <w:p w:rsidR="003455AF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  <w:tc>
          <w:tcPr>
            <w:tcW w:w="1020" w:type="dxa"/>
          </w:tcPr>
          <w:p w:rsidR="003455AF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  <w:tc>
          <w:tcPr>
            <w:tcW w:w="1107" w:type="dxa"/>
          </w:tcPr>
          <w:p w:rsidR="003455AF" w:rsidRPr="0024491C" w:rsidRDefault="0024491C" w:rsidP="0024491C">
            <w:pPr>
              <w:jc w:val="center"/>
            </w:pPr>
            <w:r>
              <w:rPr>
                <w:rFonts w:cs="Times New Roman"/>
              </w:rPr>
              <w:t>10000</w:t>
            </w:r>
          </w:p>
        </w:tc>
        <w:tc>
          <w:tcPr>
            <w:tcW w:w="1135" w:type="dxa"/>
          </w:tcPr>
          <w:p w:rsidR="003455AF" w:rsidRPr="0024491C" w:rsidRDefault="0024491C" w:rsidP="0024491C">
            <w:pPr>
              <w:jc w:val="center"/>
            </w:pPr>
            <w:r>
              <w:rPr>
                <w:rFonts w:cs="Times New Roman"/>
              </w:rPr>
              <w:t>10000</w:t>
            </w:r>
          </w:p>
        </w:tc>
        <w:tc>
          <w:tcPr>
            <w:tcW w:w="1134" w:type="dxa"/>
          </w:tcPr>
          <w:p w:rsidR="003455AF" w:rsidRPr="0024491C" w:rsidRDefault="0024491C" w:rsidP="0024491C">
            <w:pPr>
              <w:jc w:val="center"/>
            </w:pPr>
            <w:r>
              <w:rPr>
                <w:rFonts w:cs="Times New Roman"/>
              </w:rPr>
              <w:t>10000</w:t>
            </w:r>
          </w:p>
        </w:tc>
        <w:tc>
          <w:tcPr>
            <w:tcW w:w="1460" w:type="dxa"/>
          </w:tcPr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3455AF" w:rsidRPr="000C38B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3455AF" w:rsidRPr="000C38BF" w:rsidRDefault="003455AF" w:rsidP="003455A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71477" w:rsidRPr="000C38BF" w:rsidTr="0024491C"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</w:t>
            </w:r>
            <w:r>
              <w:rPr>
                <w:rFonts w:cs="Times New Roman"/>
                <w:sz w:val="18"/>
                <w:szCs w:val="18"/>
              </w:rPr>
              <w:t>литики</w:t>
            </w: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E71477" w:rsidRPr="000C38BF" w:rsidRDefault="00E71477" w:rsidP="005231A2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71477" w:rsidRPr="000C38BF" w:rsidTr="0024491C">
        <w:trPr>
          <w:trHeight w:val="936"/>
        </w:trPr>
        <w:tc>
          <w:tcPr>
            <w:tcW w:w="562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99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</w:t>
            </w:r>
            <w:r>
              <w:rPr>
                <w:rFonts w:cs="Times New Roman"/>
                <w:sz w:val="18"/>
                <w:szCs w:val="18"/>
              </w:rPr>
              <w:t>ний в сфере молодежной политики</w:t>
            </w:r>
          </w:p>
        </w:tc>
        <w:tc>
          <w:tcPr>
            <w:tcW w:w="1219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20900</w:t>
            </w:r>
          </w:p>
        </w:tc>
        <w:tc>
          <w:tcPr>
            <w:tcW w:w="1134" w:type="dxa"/>
          </w:tcPr>
          <w:p w:rsidR="00E71477" w:rsidRPr="0024491C" w:rsidRDefault="00CE02AC" w:rsidP="00CE02AC">
            <w:pPr>
              <w:rPr>
                <w:rFonts w:cs="Times New Roman"/>
              </w:rPr>
            </w:pPr>
            <w:r w:rsidRPr="0024491C">
              <w:rPr>
                <w:rFonts w:cs="Times New Roman"/>
              </w:rPr>
              <w:t>95414,7</w:t>
            </w:r>
          </w:p>
        </w:tc>
        <w:tc>
          <w:tcPr>
            <w:tcW w:w="1255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21095,5</w:t>
            </w:r>
          </w:p>
        </w:tc>
        <w:tc>
          <w:tcPr>
            <w:tcW w:w="1020" w:type="dxa"/>
          </w:tcPr>
          <w:p w:rsidR="00E71477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18943,7</w:t>
            </w:r>
          </w:p>
        </w:tc>
        <w:tc>
          <w:tcPr>
            <w:tcW w:w="1107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135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134" w:type="dxa"/>
          </w:tcPr>
          <w:p w:rsidR="00E71477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18458,5</w:t>
            </w:r>
          </w:p>
        </w:tc>
        <w:tc>
          <w:tcPr>
            <w:tcW w:w="1460" w:type="dxa"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  <w:vMerge/>
          </w:tcPr>
          <w:p w:rsidR="00E71477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56B3" w:rsidRPr="000C38BF" w:rsidTr="0024491C">
        <w:tc>
          <w:tcPr>
            <w:tcW w:w="562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219" w:type="dxa"/>
          </w:tcPr>
          <w:p w:rsidR="008F56B3" w:rsidRPr="000C38B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8F56B3" w:rsidRPr="000C38B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24491C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8F56B3" w:rsidRPr="0024491C" w:rsidRDefault="00CE02AC" w:rsidP="00D2121B">
            <w:pPr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9206,4</w:t>
            </w:r>
          </w:p>
        </w:tc>
        <w:tc>
          <w:tcPr>
            <w:tcW w:w="1255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2035,5</w:t>
            </w:r>
          </w:p>
        </w:tc>
        <w:tc>
          <w:tcPr>
            <w:tcW w:w="1020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1827,9</w:t>
            </w:r>
          </w:p>
        </w:tc>
        <w:tc>
          <w:tcPr>
            <w:tcW w:w="1107" w:type="dxa"/>
          </w:tcPr>
          <w:p w:rsidR="008F56B3" w:rsidRPr="0024491C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5" w:type="dxa"/>
          </w:tcPr>
          <w:p w:rsidR="008F56B3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4" w:type="dxa"/>
          </w:tcPr>
          <w:p w:rsidR="008F56B3" w:rsidRPr="0024491C" w:rsidRDefault="0024491C" w:rsidP="00E714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8F56B3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8F56B3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2121B" w:rsidRPr="000C38BF" w:rsidTr="0024491C">
        <w:tc>
          <w:tcPr>
            <w:tcW w:w="562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90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24491C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D2121B" w:rsidRPr="0024491C" w:rsidRDefault="00CE02AC" w:rsidP="00D2121B">
            <w:pPr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9206,4</w:t>
            </w:r>
          </w:p>
        </w:tc>
        <w:tc>
          <w:tcPr>
            <w:tcW w:w="1255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2035,5</w:t>
            </w:r>
          </w:p>
        </w:tc>
        <w:tc>
          <w:tcPr>
            <w:tcW w:w="1020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1827,9</w:t>
            </w:r>
          </w:p>
        </w:tc>
        <w:tc>
          <w:tcPr>
            <w:tcW w:w="1107" w:type="dxa"/>
          </w:tcPr>
          <w:p w:rsidR="00D2121B" w:rsidRPr="0024491C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5" w:type="dxa"/>
          </w:tcPr>
          <w:p w:rsidR="00D2121B" w:rsidRPr="0024491C" w:rsidRDefault="0024491C" w:rsidP="00D21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134" w:type="dxa"/>
          </w:tcPr>
          <w:p w:rsidR="00D2121B" w:rsidRPr="0024491C" w:rsidRDefault="0024491C" w:rsidP="00D212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1781,0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D2121B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мероприятий по созданию</w:t>
            </w:r>
            <w:r w:rsidRPr="000C38BF">
              <w:rPr>
                <w:rFonts w:cs="Times New Roman"/>
                <w:sz w:val="18"/>
                <w:szCs w:val="18"/>
              </w:rPr>
              <w:t xml:space="preserve"> условий для развития наставничества, поддержки общественных инициатив и проектов, в том числе в сфере </w:t>
            </w:r>
            <w:r w:rsidRPr="000C38BF">
              <w:rPr>
                <w:rFonts w:cs="Times New Roman"/>
                <w:sz w:val="18"/>
                <w:szCs w:val="18"/>
              </w:rPr>
              <w:lastRenderedPageBreak/>
              <w:t>добровольчества (волонтерства)</w:t>
            </w:r>
          </w:p>
          <w:p w:rsidR="00D2121B" w:rsidRPr="000C38B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71477" w:rsidRPr="000C38BF" w:rsidTr="0024491C">
        <w:tc>
          <w:tcPr>
            <w:tcW w:w="562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90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25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07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5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E71477" w:rsidRPr="0024491C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0</w:t>
            </w:r>
          </w:p>
        </w:tc>
        <w:tc>
          <w:tcPr>
            <w:tcW w:w="1460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МУРМ «Молодежный Центр», </w:t>
            </w:r>
          </w:p>
          <w:p w:rsidR="00E71477" w:rsidRPr="000C38B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«ЭГЦПВ»</w:t>
            </w:r>
          </w:p>
        </w:tc>
        <w:tc>
          <w:tcPr>
            <w:tcW w:w="1611" w:type="dxa"/>
          </w:tcPr>
          <w:p w:rsidR="000C5197" w:rsidRPr="000C38BF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условий для формирования </w:t>
            </w:r>
            <w:r w:rsidRPr="000C38BF">
              <w:rPr>
                <w:rFonts w:cs="Times New Roman"/>
                <w:sz w:val="18"/>
                <w:szCs w:val="18"/>
              </w:rPr>
              <w:t>эффективной системы выявления, поддержки и развития способностей и талантов у детей и молодежи</w:t>
            </w:r>
          </w:p>
          <w:p w:rsidR="00E71477" w:rsidRPr="000C38B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71477" w:rsidRPr="00E71477" w:rsidTr="0024491C">
        <w:tc>
          <w:tcPr>
            <w:tcW w:w="562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71477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71477">
              <w:rPr>
                <w:rFonts w:cs="Times New Roman"/>
                <w:b/>
                <w:sz w:val="18"/>
                <w:szCs w:val="18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24491C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0</w:t>
            </w:r>
          </w:p>
        </w:tc>
        <w:tc>
          <w:tcPr>
            <w:tcW w:w="1134" w:type="dxa"/>
          </w:tcPr>
          <w:p w:rsidR="00E71477" w:rsidRPr="0024491C" w:rsidRDefault="00CE02A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157829,2</w:t>
            </w:r>
          </w:p>
        </w:tc>
        <w:tc>
          <w:tcPr>
            <w:tcW w:w="1255" w:type="dxa"/>
          </w:tcPr>
          <w:p w:rsidR="00E71477" w:rsidRPr="0024491C" w:rsidRDefault="00CE02A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33840,3</w:t>
            </w:r>
          </w:p>
        </w:tc>
        <w:tc>
          <w:tcPr>
            <w:tcW w:w="1020" w:type="dxa"/>
          </w:tcPr>
          <w:p w:rsidR="00E71477" w:rsidRPr="0024491C" w:rsidRDefault="00CE02A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31408,6</w:t>
            </w:r>
          </w:p>
        </w:tc>
        <w:tc>
          <w:tcPr>
            <w:tcW w:w="1107" w:type="dxa"/>
          </w:tcPr>
          <w:p w:rsidR="00E71477" w:rsidRPr="0024491C" w:rsidRDefault="00CE02A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5" w:type="dxa"/>
          </w:tcPr>
          <w:p w:rsidR="00E71477" w:rsidRPr="0024491C" w:rsidRDefault="00CE02AC" w:rsidP="00E71477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134" w:type="dxa"/>
          </w:tcPr>
          <w:p w:rsidR="00E71477" w:rsidRPr="0024491C" w:rsidRDefault="00CE02AC" w:rsidP="00E71477">
            <w:pPr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30860,1</w:t>
            </w:r>
          </w:p>
        </w:tc>
        <w:tc>
          <w:tcPr>
            <w:tcW w:w="1460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</w:tcPr>
          <w:p w:rsidR="00E71477" w:rsidRPr="00E71477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A6844" w:rsidRDefault="009A6844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E71477" w:rsidRDefault="00E71477">
      <w:pPr>
        <w:spacing w:after="160" w:line="259" w:lineRule="auto"/>
        <w:rPr>
          <w:rFonts w:cs="Times New Roman"/>
          <w:sz w:val="22"/>
          <w:szCs w:val="20"/>
        </w:rPr>
      </w:pPr>
      <w:r>
        <w:rPr>
          <w:rFonts w:cs="Times New Roman"/>
        </w:rPr>
        <w:br w:type="page"/>
      </w:r>
    </w:p>
    <w:p w:rsidR="00E71477" w:rsidRPr="00E27A7D" w:rsidRDefault="00E71477" w:rsidP="00E71477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E71477">
        <w:tc>
          <w:tcPr>
            <w:tcW w:w="2769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E71477">
        <w:tc>
          <w:tcPr>
            <w:tcW w:w="2769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E71477">
        <w:tc>
          <w:tcPr>
            <w:tcW w:w="2769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8B7F59" w:rsidRPr="00E970B5" w:rsidTr="008B7F59">
        <w:tc>
          <w:tcPr>
            <w:tcW w:w="2769" w:type="dxa"/>
            <w:vMerge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52759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8B7F59">
        <w:tc>
          <w:tcPr>
            <w:tcW w:w="2769" w:type="dxa"/>
            <w:vMerge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52759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8B7F59">
        <w:tc>
          <w:tcPr>
            <w:tcW w:w="2769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52759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8B7F59">
        <w:tc>
          <w:tcPr>
            <w:tcW w:w="2769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52759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5231A2">
          <w:pgSz w:w="16838" w:h="11906" w:orient="landscape"/>
          <w:pgMar w:top="1134" w:right="567" w:bottom="1134" w:left="1560" w:header="709" w:footer="709" w:gutter="0"/>
          <w:pgNumType w:start="2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266"/>
        <w:gridCol w:w="1019"/>
        <w:gridCol w:w="1255"/>
        <w:gridCol w:w="1020"/>
        <w:gridCol w:w="1107"/>
        <w:gridCol w:w="1135"/>
        <w:gridCol w:w="1134"/>
        <w:gridCol w:w="1460"/>
        <w:gridCol w:w="1611"/>
      </w:tblGrid>
      <w:tr w:rsidR="00E71477" w:rsidRPr="000C38BF" w:rsidTr="00421A6A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019" w:type="dxa"/>
            <w:vMerge w:val="restart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E71477" w:rsidRPr="00E71477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E71477" w:rsidRPr="00E71477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0C38BF" w:rsidTr="00421A6A">
        <w:tc>
          <w:tcPr>
            <w:tcW w:w="562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E71477" w:rsidRPr="000C38BF" w:rsidRDefault="00E71477" w:rsidP="00E714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E71477" w:rsidRPr="000C38B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03.</w:t>
            </w:r>
            <w:r w:rsidRPr="000C38BF">
              <w:rPr>
                <w:rFonts w:cs="Times New Roman"/>
                <w:sz w:val="18"/>
                <w:szCs w:val="18"/>
              </w:rPr>
              <w:t xml:space="preserve"> «</w:t>
            </w:r>
            <w:r w:rsidRPr="00E970B5">
              <w:rPr>
                <w:rFonts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Средства </w:t>
            </w:r>
            <w:r>
              <w:rPr>
                <w:rFonts w:cs="Times New Roman"/>
                <w:sz w:val="18"/>
                <w:szCs w:val="18"/>
              </w:rPr>
              <w:t xml:space="preserve">федерального </w:t>
            </w:r>
            <w:r w:rsidRPr="000C38BF">
              <w:rPr>
                <w:rFonts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10110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51520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9883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10041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27F11" w:rsidRPr="000C38BF" w:rsidTr="00421A6A">
        <w:trPr>
          <w:trHeight w:val="1396"/>
        </w:trPr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10110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51520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9883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10041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10532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04</w:t>
            </w:r>
            <w:r w:rsidRPr="000C38BF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E970B5">
              <w:rPr>
                <w:rFonts w:cs="Times New Roman"/>
                <w:sz w:val="18"/>
                <w:szCs w:val="18"/>
              </w:rPr>
              <w:t xml:space="preserve">Корректировка списков кандидатов в присяжные заседатели федеральных судов общей юрисдикции в </w:t>
            </w:r>
            <w:r w:rsidRPr="00E970B5"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  <w:r w:rsidRPr="000C38B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1239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970B5">
              <w:rPr>
                <w:rFonts w:cs="Times New Roman"/>
                <w:sz w:val="18"/>
                <w:szCs w:val="18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19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Default="00427F11" w:rsidP="00427F11">
            <w:r w:rsidRPr="00CD1B5F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9B13B6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1239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1232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  <w:lang w:val="en-US"/>
              </w:rPr>
            </w:pPr>
            <w:r w:rsidRPr="009B1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60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0C38B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21A6A">
              <w:rPr>
                <w:rFonts w:cs="Times New Roman"/>
                <w:sz w:val="18"/>
                <w:szCs w:val="18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427F11" w:rsidRPr="000C38BF" w:rsidTr="00421A6A">
        <w:tc>
          <w:tcPr>
            <w:tcW w:w="562" w:type="dxa"/>
          </w:tcPr>
          <w:p w:rsidR="00427F11" w:rsidRPr="000C38BF" w:rsidRDefault="009B13B6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990" w:type="dxa"/>
          </w:tcPr>
          <w:p w:rsidR="00427F11" w:rsidRPr="00EA059C" w:rsidRDefault="009B13B6" w:rsidP="00427F1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A059C">
              <w:rPr>
                <w:rFonts w:cs="Times New Roman"/>
                <w:sz w:val="20"/>
                <w:szCs w:val="20"/>
              </w:rPr>
              <w:t>Основное мероприятие. Проведение Всероссийской переписи населения</w:t>
            </w:r>
          </w:p>
        </w:tc>
        <w:tc>
          <w:tcPr>
            <w:tcW w:w="1219" w:type="dxa"/>
          </w:tcPr>
          <w:p w:rsidR="00427F11" w:rsidRPr="000C38BF" w:rsidRDefault="009B13B6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427F11" w:rsidRPr="00CD1B5F" w:rsidRDefault="00427F11" w:rsidP="00427F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27F11" w:rsidRPr="009B13B6" w:rsidRDefault="00427F11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1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1720</w:t>
            </w:r>
          </w:p>
        </w:tc>
        <w:tc>
          <w:tcPr>
            <w:tcW w:w="125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1720</w:t>
            </w:r>
          </w:p>
        </w:tc>
        <w:tc>
          <w:tcPr>
            <w:tcW w:w="1020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7F11" w:rsidRPr="009B13B6" w:rsidRDefault="00427F11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427F11" w:rsidRDefault="009B13B6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427F11" w:rsidRPr="00421A6A" w:rsidRDefault="000C5197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B13B6" w:rsidRPr="000C38BF" w:rsidTr="00421A6A">
        <w:tc>
          <w:tcPr>
            <w:tcW w:w="562" w:type="dxa"/>
          </w:tcPr>
          <w:p w:rsidR="009B13B6" w:rsidRDefault="009B13B6" w:rsidP="009B13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90" w:type="dxa"/>
          </w:tcPr>
          <w:p w:rsidR="009B13B6" w:rsidRPr="00EA059C" w:rsidRDefault="009B13B6" w:rsidP="009B13B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A059C">
              <w:rPr>
                <w:rFonts w:cs="Times New Roman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1219" w:type="dxa"/>
          </w:tcPr>
          <w:p w:rsidR="009B13B6" w:rsidRPr="000C38BF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9B13B6" w:rsidRPr="00CD1B5F" w:rsidRDefault="009B13B6" w:rsidP="009B13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9B13B6" w:rsidRPr="009B13B6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1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9B13B6" w:rsidRPr="009B13B6" w:rsidRDefault="009B13B6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  <w:lang w:val="en-US"/>
              </w:rPr>
              <w:t>1720</w:t>
            </w:r>
          </w:p>
        </w:tc>
        <w:tc>
          <w:tcPr>
            <w:tcW w:w="1255" w:type="dxa"/>
          </w:tcPr>
          <w:p w:rsidR="009B13B6" w:rsidRPr="009B13B6" w:rsidRDefault="0097108E" w:rsidP="009B1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1020" w:type="dxa"/>
          </w:tcPr>
          <w:p w:rsidR="009B13B6" w:rsidRPr="009B13B6" w:rsidRDefault="009B13B6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:rsidR="009B13B6" w:rsidRPr="009B13B6" w:rsidRDefault="009B13B6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9B13B6" w:rsidRPr="009B13B6" w:rsidRDefault="009B13B6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13B6" w:rsidRPr="009B13B6" w:rsidRDefault="009B13B6" w:rsidP="009B13B6">
            <w:pPr>
              <w:jc w:val="center"/>
              <w:rPr>
                <w:sz w:val="20"/>
                <w:szCs w:val="20"/>
              </w:rPr>
            </w:pPr>
            <w:r w:rsidRPr="009B13B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9B13B6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  <w:tc>
          <w:tcPr>
            <w:tcW w:w="1611" w:type="dxa"/>
          </w:tcPr>
          <w:p w:rsidR="009B13B6" w:rsidRPr="00421A6A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Осуществление всероссийской переписи населения</w:t>
            </w:r>
          </w:p>
        </w:tc>
      </w:tr>
      <w:tr w:rsidR="009B13B6" w:rsidRPr="00E970B5" w:rsidTr="009B13B6">
        <w:tc>
          <w:tcPr>
            <w:tcW w:w="562" w:type="dxa"/>
          </w:tcPr>
          <w:p w:rsidR="009B13B6" w:rsidRPr="00E970B5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9B13B6" w:rsidRPr="00E970B5" w:rsidRDefault="009B13B6" w:rsidP="009B13B6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</w:tcPr>
          <w:p w:rsidR="009B13B6" w:rsidRPr="00E970B5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9B13B6" w:rsidRPr="00E970B5" w:rsidRDefault="009B13B6" w:rsidP="009B13B6">
            <w:pPr>
              <w:rPr>
                <w:b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9B13B6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B13B6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B13B6" w:rsidRPr="009B13B6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13B6">
              <w:rPr>
                <w:rFonts w:cs="Times New Roman"/>
                <w:b/>
                <w:sz w:val="20"/>
                <w:szCs w:val="20"/>
              </w:rPr>
              <w:t>10184</w:t>
            </w:r>
          </w:p>
        </w:tc>
        <w:tc>
          <w:tcPr>
            <w:tcW w:w="1019" w:type="dxa"/>
          </w:tcPr>
          <w:p w:rsidR="009B13B6" w:rsidRPr="000F4241" w:rsidRDefault="009B13B6" w:rsidP="009B13B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:rsidR="009B13B6" w:rsidRPr="000F4241" w:rsidRDefault="009B13B6" w:rsidP="009B13B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:rsidR="009B13B6" w:rsidRPr="000F4241" w:rsidRDefault="009B13B6" w:rsidP="009B13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241">
              <w:rPr>
                <w:rFonts w:cs="Times New Roman"/>
                <w:b/>
                <w:sz w:val="20"/>
                <w:szCs w:val="20"/>
                <w:lang w:val="en-US"/>
              </w:rPr>
              <w:t>54479</w:t>
            </w:r>
          </w:p>
        </w:tc>
        <w:tc>
          <w:tcPr>
            <w:tcW w:w="1255" w:type="dxa"/>
            <w:vAlign w:val="bottom"/>
          </w:tcPr>
          <w:p w:rsidR="009B13B6" w:rsidRPr="000F4241" w:rsidRDefault="0097108E" w:rsidP="009710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11606</w:t>
            </w:r>
          </w:p>
        </w:tc>
        <w:tc>
          <w:tcPr>
            <w:tcW w:w="1020" w:type="dxa"/>
            <w:vAlign w:val="bottom"/>
          </w:tcPr>
          <w:p w:rsidR="009B13B6" w:rsidRPr="000F4241" w:rsidRDefault="0097108E" w:rsidP="009B13B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10045</w:t>
            </w:r>
          </w:p>
        </w:tc>
        <w:tc>
          <w:tcPr>
            <w:tcW w:w="1107" w:type="dxa"/>
            <w:vAlign w:val="bottom"/>
          </w:tcPr>
          <w:p w:rsidR="009B13B6" w:rsidRPr="000F4241" w:rsidRDefault="0097108E" w:rsidP="009B13B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11764</w:t>
            </w:r>
          </w:p>
        </w:tc>
        <w:tc>
          <w:tcPr>
            <w:tcW w:w="1135" w:type="dxa"/>
            <w:vAlign w:val="bottom"/>
          </w:tcPr>
          <w:p w:rsidR="009B13B6" w:rsidRPr="000F4241" w:rsidRDefault="0097108E" w:rsidP="009B13B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134" w:type="dxa"/>
            <w:vAlign w:val="bottom"/>
          </w:tcPr>
          <w:p w:rsidR="009B13B6" w:rsidRPr="000F4241" w:rsidRDefault="0097108E" w:rsidP="009B13B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1460" w:type="dxa"/>
          </w:tcPr>
          <w:p w:rsidR="009B13B6" w:rsidRPr="00E970B5" w:rsidRDefault="009B13B6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</w:tcPr>
          <w:p w:rsidR="009B13B6" w:rsidRPr="00E970B5" w:rsidRDefault="009B13B6" w:rsidP="009B13B6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E71477" w:rsidRDefault="00E71477">
      <w:pPr>
        <w:spacing w:after="160" w:line="259" w:lineRule="auto"/>
        <w:rPr>
          <w:rFonts w:cs="Times New Roman"/>
          <w:sz w:val="22"/>
          <w:szCs w:val="20"/>
        </w:rPr>
      </w:pPr>
      <w:r>
        <w:rPr>
          <w:rFonts w:cs="Times New Roman"/>
        </w:rPr>
        <w:br w:type="page"/>
      </w: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8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421A6A" w:rsidRPr="00421A6A" w:rsidTr="00421A6A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421A6A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421A6A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421A6A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408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421A6A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0C5197" w:rsidRPr="000C5197" w:rsidRDefault="000C5197" w:rsidP="000C5197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0C5197" w:rsidRPr="000C5197" w:rsidRDefault="000C5197" w:rsidP="000C5197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0C5197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421A6A" w:rsidRDefault="00421A6A" w:rsidP="00421A6A">
      <w:pPr>
        <w:autoSpaceDE w:val="0"/>
        <w:autoSpaceDN w:val="0"/>
        <w:adjustRightInd w:val="0"/>
        <w:jc w:val="both"/>
        <w:rPr>
          <w:rFonts w:eastAsia="Calibri" w:cs="Times New Roman"/>
          <w:color w:val="FF0000"/>
          <w:lang w:eastAsia="en-US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219"/>
        <w:gridCol w:w="1484"/>
        <w:gridCol w:w="1266"/>
        <w:gridCol w:w="1019"/>
        <w:gridCol w:w="1255"/>
        <w:gridCol w:w="1020"/>
        <w:gridCol w:w="1107"/>
        <w:gridCol w:w="1135"/>
        <w:gridCol w:w="1134"/>
        <w:gridCol w:w="1460"/>
        <w:gridCol w:w="1611"/>
      </w:tblGrid>
      <w:tr w:rsidR="00421A6A" w:rsidRPr="000C38BF" w:rsidTr="00421A6A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</w:p>
        </w:tc>
        <w:tc>
          <w:tcPr>
            <w:tcW w:w="1219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019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65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60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11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21A6A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107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460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21A6A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19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1019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46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611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21A6A">
        <w:trPr>
          <w:trHeight w:val="1396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1219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4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1019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46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611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4491C" w:rsidRPr="00E970B5" w:rsidTr="00421A6A">
        <w:tc>
          <w:tcPr>
            <w:tcW w:w="562" w:type="dxa"/>
          </w:tcPr>
          <w:p w:rsidR="0024491C" w:rsidRPr="00E970B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24491C" w:rsidRPr="00E970B5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970B5">
              <w:rPr>
                <w:rFonts w:cs="Times New Roman"/>
                <w:b/>
                <w:sz w:val="18"/>
                <w:szCs w:val="18"/>
              </w:rPr>
              <w:t>Всего по Подпрограмме</w:t>
            </w:r>
          </w:p>
        </w:tc>
        <w:tc>
          <w:tcPr>
            <w:tcW w:w="1219" w:type="dxa"/>
          </w:tcPr>
          <w:p w:rsidR="0024491C" w:rsidRPr="00E970B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491C" w:rsidRPr="00E970B5" w:rsidRDefault="0024491C" w:rsidP="0024491C">
            <w:pPr>
              <w:rPr>
                <w:b/>
              </w:rPr>
            </w:pPr>
            <w:r w:rsidRPr="00BA2EA6">
              <w:rPr>
                <w:rFonts w:cs="Times New Roman"/>
                <w:b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4491C">
              <w:rPr>
                <w:rFonts w:cs="Times New Roman"/>
                <w:b/>
              </w:rPr>
              <w:t>139</w:t>
            </w:r>
          </w:p>
        </w:tc>
        <w:tc>
          <w:tcPr>
            <w:tcW w:w="1019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25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020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07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460" w:type="dxa"/>
          </w:tcPr>
          <w:p w:rsidR="0024491C" w:rsidRPr="00E970B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1" w:type="dxa"/>
          </w:tcPr>
          <w:p w:rsidR="0024491C" w:rsidRPr="00E970B5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421A6A" w:rsidP="00421A6A">
      <w:pPr>
        <w:pStyle w:val="ConsPlusNormal"/>
        <w:jc w:val="both"/>
        <w:rPr>
          <w:rFonts w:ascii="Times New Roman" w:hAnsi="Times New Roman" w:cs="Times New Roman"/>
        </w:rPr>
      </w:pPr>
    </w:p>
    <w:sectPr w:rsidR="00421A6A" w:rsidSect="005231A2">
      <w:pgSz w:w="16838" w:h="11906" w:orient="landscape"/>
      <w:pgMar w:top="851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1C" w:rsidRDefault="0024491C" w:rsidP="000B742A">
      <w:r>
        <w:separator/>
      </w:r>
    </w:p>
  </w:endnote>
  <w:endnote w:type="continuationSeparator" w:id="0">
    <w:p w:rsidR="0024491C" w:rsidRDefault="0024491C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1C" w:rsidRDefault="0024491C" w:rsidP="000B742A">
      <w:r>
        <w:separator/>
      </w:r>
    </w:p>
  </w:footnote>
  <w:footnote w:type="continuationSeparator" w:id="0">
    <w:p w:rsidR="0024491C" w:rsidRDefault="0024491C" w:rsidP="000B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52C58"/>
    <w:rsid w:val="000565DA"/>
    <w:rsid w:val="00062491"/>
    <w:rsid w:val="000745C0"/>
    <w:rsid w:val="000B742A"/>
    <w:rsid w:val="000C38BF"/>
    <w:rsid w:val="000C5197"/>
    <w:rsid w:val="000E742D"/>
    <w:rsid w:val="000F4241"/>
    <w:rsid w:val="001153B7"/>
    <w:rsid w:val="00140C3C"/>
    <w:rsid w:val="0022489F"/>
    <w:rsid w:val="002443A0"/>
    <w:rsid w:val="0024491C"/>
    <w:rsid w:val="00286C14"/>
    <w:rsid w:val="002A1C15"/>
    <w:rsid w:val="002D7754"/>
    <w:rsid w:val="002E043E"/>
    <w:rsid w:val="00322B19"/>
    <w:rsid w:val="0032510C"/>
    <w:rsid w:val="003455AF"/>
    <w:rsid w:val="00366383"/>
    <w:rsid w:val="003731FD"/>
    <w:rsid w:val="00377D05"/>
    <w:rsid w:val="003818D2"/>
    <w:rsid w:val="0038268D"/>
    <w:rsid w:val="00390ABD"/>
    <w:rsid w:val="003C2155"/>
    <w:rsid w:val="003C54A2"/>
    <w:rsid w:val="003F7445"/>
    <w:rsid w:val="00401E4A"/>
    <w:rsid w:val="00421A6A"/>
    <w:rsid w:val="00427F11"/>
    <w:rsid w:val="00454CD9"/>
    <w:rsid w:val="00461EC5"/>
    <w:rsid w:val="00462E2A"/>
    <w:rsid w:val="00495AC6"/>
    <w:rsid w:val="0049671C"/>
    <w:rsid w:val="0050202D"/>
    <w:rsid w:val="00520DCB"/>
    <w:rsid w:val="005231A2"/>
    <w:rsid w:val="00537173"/>
    <w:rsid w:val="00565A3F"/>
    <w:rsid w:val="0059377D"/>
    <w:rsid w:val="005A4D59"/>
    <w:rsid w:val="005B0F8D"/>
    <w:rsid w:val="005B1E26"/>
    <w:rsid w:val="005D4401"/>
    <w:rsid w:val="0060046A"/>
    <w:rsid w:val="0060301E"/>
    <w:rsid w:val="006A4B06"/>
    <w:rsid w:val="006A5209"/>
    <w:rsid w:val="006D3B2B"/>
    <w:rsid w:val="0071170B"/>
    <w:rsid w:val="007C2A8F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55A60"/>
    <w:rsid w:val="0097108E"/>
    <w:rsid w:val="009A6844"/>
    <w:rsid w:val="009B13B6"/>
    <w:rsid w:val="009B69A5"/>
    <w:rsid w:val="009C0364"/>
    <w:rsid w:val="009C0F44"/>
    <w:rsid w:val="009D3356"/>
    <w:rsid w:val="009E54F4"/>
    <w:rsid w:val="009E5551"/>
    <w:rsid w:val="009F239E"/>
    <w:rsid w:val="00A33577"/>
    <w:rsid w:val="00A338D2"/>
    <w:rsid w:val="00A42138"/>
    <w:rsid w:val="00A53BF4"/>
    <w:rsid w:val="00A544D4"/>
    <w:rsid w:val="00A55F79"/>
    <w:rsid w:val="00A70E30"/>
    <w:rsid w:val="00AA0E7D"/>
    <w:rsid w:val="00AA1C86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63EA"/>
    <w:rsid w:val="00BD0D66"/>
    <w:rsid w:val="00BE0958"/>
    <w:rsid w:val="00BE0D03"/>
    <w:rsid w:val="00BF2963"/>
    <w:rsid w:val="00C44661"/>
    <w:rsid w:val="00C4705B"/>
    <w:rsid w:val="00C57ADC"/>
    <w:rsid w:val="00C6670D"/>
    <w:rsid w:val="00C77506"/>
    <w:rsid w:val="00C93B63"/>
    <w:rsid w:val="00CB3940"/>
    <w:rsid w:val="00CD1764"/>
    <w:rsid w:val="00CE02AC"/>
    <w:rsid w:val="00D2121B"/>
    <w:rsid w:val="00D53605"/>
    <w:rsid w:val="00DA75CD"/>
    <w:rsid w:val="00DC5A3D"/>
    <w:rsid w:val="00DC62BF"/>
    <w:rsid w:val="00DE6371"/>
    <w:rsid w:val="00E00B59"/>
    <w:rsid w:val="00E27A7D"/>
    <w:rsid w:val="00E448DD"/>
    <w:rsid w:val="00E468CC"/>
    <w:rsid w:val="00E67A19"/>
    <w:rsid w:val="00E71477"/>
    <w:rsid w:val="00E84E6C"/>
    <w:rsid w:val="00E970B5"/>
    <w:rsid w:val="00EA059C"/>
    <w:rsid w:val="00EF0523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hyperlink" Target="consultantplus://offline/ref=7B9456A39EB2CD9C5F4A101500C398661D62BE6AFF62A451C94EC18358SC4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B9456A39EB2CD9C5F4A101500C398661D62BF65FD68A451C94EC18358SC4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456A39EB2CD9C5F4A111B15C398661E67B26AF86CA451C94EC18358SC4B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9456A39EB2CD9C5F4A111B15C398661E6AB16EFA6BA451C94EC18358SC4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456A39EB2CD9C5F4A111B15C398661E64B764FF6EA451C94EC18358CBFAE78ED0A1163FB4E9E6SD4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Елена Даницкая</cp:lastModifiedBy>
  <cp:revision>2</cp:revision>
  <cp:lastPrinted>2019-11-28T13:19:00Z</cp:lastPrinted>
  <dcterms:created xsi:type="dcterms:W3CDTF">2019-11-28T15:16:00Z</dcterms:created>
  <dcterms:modified xsi:type="dcterms:W3CDTF">2019-11-28T15:16:00Z</dcterms:modified>
</cp:coreProperties>
</file>