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377359" w:rsidRDefault="00E732F2" w:rsidP="00B544EF">
      <w:pPr>
        <w:ind w:left="-993" w:right="-567"/>
        <w:jc w:val="center"/>
        <w:outlineLvl w:val="0"/>
        <w:rPr>
          <w:u w:val="single"/>
        </w:rPr>
      </w:pPr>
      <w:r>
        <w:t>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_________</w:t>
      </w:r>
    </w:p>
    <w:p w:rsidR="00DB24C1" w:rsidRDefault="00DB24C1" w:rsidP="00DB24C1">
      <w:pPr>
        <w:jc w:val="both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E732F2">
        <w:t xml:space="preserve"> от 16.03.2022 №246/3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r w:rsidR="00DB24C1" w:rsidRPr="002A7802">
        <w:rPr>
          <w:sz w:val="23"/>
          <w:szCs w:val="23"/>
        </w:rPr>
        <w:t>Кокунову</w:t>
      </w:r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8F5745" w:rsidRDefault="008F5745" w:rsidP="00AA0E7D">
      <w:pPr>
        <w:tabs>
          <w:tab w:val="left" w:pos="851"/>
        </w:tabs>
        <w:ind w:left="5103"/>
        <w:rPr>
          <w:rFonts w:cs="Times New Roman"/>
        </w:rPr>
      </w:pPr>
    </w:p>
    <w:p w:rsidR="008F5745" w:rsidRDefault="008F5745" w:rsidP="00AA0E7D">
      <w:pPr>
        <w:tabs>
          <w:tab w:val="left" w:pos="851"/>
        </w:tabs>
        <w:ind w:left="5103"/>
        <w:rPr>
          <w:rFonts w:cs="Times New Roman"/>
        </w:rPr>
      </w:pPr>
    </w:p>
    <w:p w:rsidR="008F5745" w:rsidRDefault="008F5745" w:rsidP="00AA0E7D">
      <w:pPr>
        <w:tabs>
          <w:tab w:val="left" w:pos="851"/>
        </w:tabs>
        <w:ind w:left="5103"/>
        <w:rPr>
          <w:rFonts w:cs="Times New Roman"/>
        </w:rPr>
      </w:pPr>
    </w:p>
    <w:p w:rsidR="00A451F1" w:rsidRDefault="00A451F1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E732F2">
        <w:rPr>
          <w:rFonts w:cs="Times New Roman"/>
        </w:rPr>
        <w:t>____________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E732F2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№929/12</w:t>
      </w:r>
      <w:r w:rsidR="00CB37C7">
        <w:rPr>
          <w:rFonts w:cs="Times New Roman"/>
        </w:rPr>
        <w:t>,   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414D72" w:rsidRPr="00414D72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15C17" w:rsidRPr="00163DE6" w:rsidTr="008F4E49">
        <w:tc>
          <w:tcPr>
            <w:tcW w:w="2060" w:type="dxa"/>
          </w:tcPr>
          <w:p w:rsidR="00115C17" w:rsidRPr="00163DE6" w:rsidRDefault="00115C17" w:rsidP="00115C17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4 207 252,86</w:t>
            </w:r>
          </w:p>
        </w:tc>
        <w:tc>
          <w:tcPr>
            <w:tcW w:w="1209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866 019,35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781 840,37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115C17" w:rsidRPr="00163DE6" w:rsidTr="008F4E49">
        <w:tc>
          <w:tcPr>
            <w:tcW w:w="2060" w:type="dxa"/>
          </w:tcPr>
          <w:p w:rsidR="00115C17" w:rsidRPr="00163DE6" w:rsidRDefault="00115C17" w:rsidP="00115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10 032 934,98</w:t>
            </w:r>
          </w:p>
        </w:tc>
        <w:tc>
          <w:tcPr>
            <w:tcW w:w="1209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2 094 900,16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2 035 999,50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115C17" w:rsidRPr="00163DE6" w:rsidTr="008F4E49">
        <w:tc>
          <w:tcPr>
            <w:tcW w:w="2060" w:type="dxa"/>
          </w:tcPr>
          <w:p w:rsidR="00115C17" w:rsidRPr="00163DE6" w:rsidRDefault="00115C17" w:rsidP="00115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475 129,61</w:t>
            </w:r>
          </w:p>
        </w:tc>
        <w:tc>
          <w:tcPr>
            <w:tcW w:w="1209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146 515,79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110 961,41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5C17" w:rsidRPr="00163DE6" w:rsidTr="008F4E49">
        <w:tc>
          <w:tcPr>
            <w:tcW w:w="2060" w:type="dxa"/>
          </w:tcPr>
          <w:p w:rsidR="00115C17" w:rsidRPr="00163DE6" w:rsidRDefault="00115C17" w:rsidP="00115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14 715 317,45</w:t>
            </w:r>
          </w:p>
        </w:tc>
        <w:tc>
          <w:tcPr>
            <w:tcW w:w="1209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3 107 435,30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2 928 801,28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1  специальную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lastRenderedPageBreak/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соответствующий потребностям населения. 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 (проведение конкурсов профессионального мастерства, педагогического марафона,  проведение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F234DA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AD1659" w:rsidRPr="00F234DA" w:rsidRDefault="00AD1659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F234DA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:rsidTr="00F234DA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AD1659" w:rsidRPr="00F234DA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F234DA" w:rsidRDefault="00AD1659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</w:t>
            </w:r>
            <w:r w:rsidR="009D3B6A" w:rsidRPr="00F234DA">
              <w:rPr>
                <w:i/>
                <w:sz w:val="20"/>
                <w:szCs w:val="20"/>
              </w:rPr>
              <w:t>бразования для детей в возрасте</w:t>
            </w:r>
            <w:r w:rsidRPr="00F234DA">
              <w:rPr>
                <w:i/>
                <w:sz w:val="20"/>
                <w:szCs w:val="20"/>
              </w:rPr>
              <w:t xml:space="preserve"> до </w:t>
            </w:r>
            <w:r w:rsidR="00210B21" w:rsidRPr="00F234DA">
              <w:rPr>
                <w:i/>
                <w:sz w:val="20"/>
                <w:szCs w:val="20"/>
              </w:rPr>
              <w:t>3-</w:t>
            </w:r>
            <w:r w:rsidRPr="00F234DA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F234DA" w:rsidRDefault="00E31D23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F234DA" w:rsidRDefault="00E31D23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 w:rsidRPr="00F234DA"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:rsidTr="000E6BFB">
        <w:tc>
          <w:tcPr>
            <w:tcW w:w="567" w:type="dxa"/>
          </w:tcPr>
          <w:p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:rsidR="00CB1490" w:rsidRPr="00F234DA" w:rsidRDefault="00CB1490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F234DA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F234DA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F234D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F234DA" w:rsidRDefault="006A0E79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F234DA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ыс.ед.</w:t>
            </w:r>
          </w:p>
        </w:tc>
        <w:tc>
          <w:tcPr>
            <w:tcW w:w="1276" w:type="dxa"/>
          </w:tcPr>
          <w:p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Default="00CC5CAC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F234DA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:rsidTr="000E6BFB">
        <w:tc>
          <w:tcPr>
            <w:tcW w:w="567" w:type="dxa"/>
          </w:tcPr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 w:rsidR="00F31A58">
              <w:rPr>
                <w:i/>
                <w:sz w:val="20"/>
                <w:szCs w:val="20"/>
              </w:rPr>
              <w:t>ав</w:t>
            </w:r>
            <w:r w:rsidR="00E1638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:rsidTr="000E6BFB">
        <w:tc>
          <w:tcPr>
            <w:tcW w:w="567" w:type="dxa"/>
          </w:tcPr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4E43D2" w:rsidRPr="00F234DA" w:rsidRDefault="004E43D2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 w:rsidR="00E1638B"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E43D2" w:rsidRPr="004E43D2" w:rsidRDefault="00E1638B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1221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F31A58" w:rsidRDefault="00E1638B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1134" w:type="dxa"/>
          </w:tcPr>
          <w:p w:rsidR="004E43D2" w:rsidRPr="00F31A58" w:rsidRDefault="00F31A58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31A58">
              <w:rPr>
                <w:rFonts w:ascii="Times New Roman" w:hAnsi="Times New Roman" w:cs="Times New Roman"/>
                <w:sz w:val="20"/>
                <w:highlight w:val="yellow"/>
              </w:rPr>
              <w:t>18,46</w:t>
            </w:r>
          </w:p>
        </w:tc>
        <w:tc>
          <w:tcPr>
            <w:tcW w:w="1134" w:type="dxa"/>
          </w:tcPr>
          <w:p w:rsidR="004E43D2" w:rsidRPr="00F31A58" w:rsidRDefault="00F31A58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31A58">
              <w:rPr>
                <w:rFonts w:ascii="Times New Roman" w:hAnsi="Times New Roman" w:cs="Times New Roman"/>
                <w:sz w:val="20"/>
                <w:highlight w:val="yellow"/>
              </w:rPr>
              <w:t>18,86</w:t>
            </w:r>
          </w:p>
        </w:tc>
        <w:tc>
          <w:tcPr>
            <w:tcW w:w="1688" w:type="dxa"/>
          </w:tcPr>
          <w:p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45026" w:rsidRPr="00F234DA" w:rsidRDefault="00845026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 w:rsidRPr="00F234DA">
              <w:rPr>
                <w:i/>
                <w:sz w:val="20"/>
                <w:szCs w:val="20"/>
              </w:rPr>
              <w:t xml:space="preserve"> </w:t>
            </w:r>
            <w:r w:rsidRPr="00F234DA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F234DA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04B01" w:rsidRPr="00F234DA" w:rsidRDefault="00704B0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F0D36" w:rsidRPr="00F234DA" w:rsidRDefault="002F0D36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:rsidTr="000E6BFB">
        <w:tc>
          <w:tcPr>
            <w:tcW w:w="567" w:type="dxa"/>
          </w:tcPr>
          <w:p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5269E" w:rsidRPr="00F234DA" w:rsidRDefault="00E5269E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83470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83470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F234DA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Число детей, охваченных деятельностью детских технопарков "Кванториум"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F234DA" w:rsidRDefault="00DD34C4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F234DA" w:rsidRDefault="00845026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З(мун)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ЗОО(мун)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Кфгос / Кобщ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Кфгос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тыс.ед.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высокобалльников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В- количество высокобалльников;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 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высокобалльников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В- количество высокобалльников;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 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Р = Чп/Ч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Дтм = Чтм / Чо x 100, где: Дтм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Чтм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Чо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З(мун)/З(у)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С= Чсерт/Чвсего,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в </w:t>
            </w:r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 =   (Чдоп/Чобщ)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(Ппр/ Поч)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15C17" w:rsidRPr="002618A2" w:rsidTr="007A3377">
        <w:tc>
          <w:tcPr>
            <w:tcW w:w="4478" w:type="dxa"/>
          </w:tcPr>
          <w:p w:rsidR="00115C17" w:rsidRPr="000B2366" w:rsidRDefault="00115C17" w:rsidP="00115C1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2 176 290,48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89 999,49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:rsidR="00115C17" w:rsidRPr="002618A2" w:rsidRDefault="00115C17" w:rsidP="00115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15C17" w:rsidRPr="002618A2" w:rsidTr="007A3377">
        <w:tc>
          <w:tcPr>
            <w:tcW w:w="4478" w:type="dxa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793 216,77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48 938,49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rPr>
                <w:rFonts w:cs="Times New Roman"/>
              </w:rPr>
            </w:pPr>
          </w:p>
        </w:tc>
      </w:tr>
      <w:tr w:rsidR="00115C17" w:rsidRPr="002618A2" w:rsidTr="007A3377">
        <w:tc>
          <w:tcPr>
            <w:tcW w:w="4478" w:type="dxa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1 383 073,71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115C17" w:rsidRPr="002618A2" w:rsidTr="007A3377">
        <w:tc>
          <w:tcPr>
            <w:tcW w:w="4478" w:type="dxa"/>
            <w:vAlign w:val="center"/>
          </w:tcPr>
          <w:p w:rsidR="00115C17" w:rsidRPr="00310E1D" w:rsidRDefault="00115C17" w:rsidP="00115C1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2 089 568,73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77 515,67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:rsidR="00115C17" w:rsidRPr="00662420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115C17" w:rsidRPr="002618A2" w:rsidTr="007A3377">
        <w:tc>
          <w:tcPr>
            <w:tcW w:w="4478" w:type="dxa"/>
            <w:vAlign w:val="center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767 844,73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38 332,67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5C17" w:rsidRPr="002618A2" w:rsidTr="007A3377">
        <w:tc>
          <w:tcPr>
            <w:tcW w:w="4478" w:type="dxa"/>
            <w:vAlign w:val="center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5C17" w:rsidRPr="002618A2" w:rsidTr="003233EF">
        <w:trPr>
          <w:trHeight w:val="618"/>
        </w:trPr>
        <w:tc>
          <w:tcPr>
            <w:tcW w:w="4478" w:type="dxa"/>
            <w:vAlign w:val="center"/>
          </w:tcPr>
          <w:p w:rsidR="00115C17" w:rsidRPr="00310E1D" w:rsidRDefault="00115C17" w:rsidP="00115C1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77 242,75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115C17" w:rsidRPr="008443B5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15C17" w:rsidRPr="002618A2" w:rsidTr="007A3377">
        <w:tc>
          <w:tcPr>
            <w:tcW w:w="4478" w:type="dxa"/>
            <w:vAlign w:val="center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25 372,04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5C17" w:rsidRPr="002618A2" w:rsidTr="007A3377">
        <w:tc>
          <w:tcPr>
            <w:tcW w:w="4478" w:type="dxa"/>
            <w:vAlign w:val="center"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15C17" w:rsidRDefault="00115C17" w:rsidP="001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51 870,71</w:t>
            </w:r>
          </w:p>
        </w:tc>
        <w:tc>
          <w:tcPr>
            <w:tcW w:w="122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115C17" w:rsidRDefault="00115C17" w:rsidP="001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115C17" w:rsidRPr="002618A2" w:rsidRDefault="00115C17" w:rsidP="00115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4652B" w:rsidRPr="00FE0B2D" w:rsidTr="00AF688C">
        <w:tc>
          <w:tcPr>
            <w:tcW w:w="567" w:type="dxa"/>
            <w:vMerge w:val="restart"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652B" w:rsidRPr="00FA0AB1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77 242,75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652B" w:rsidRPr="00FE0B2D" w:rsidTr="00AF688C">
        <w:tc>
          <w:tcPr>
            <w:tcW w:w="567" w:type="dxa"/>
            <w:vMerge/>
          </w:tcPr>
          <w:p w:rsidR="00D4652B" w:rsidRPr="00FE0B2D" w:rsidRDefault="00D4652B" w:rsidP="00D465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52B" w:rsidRPr="00FE0B2D" w:rsidTr="00AF688C">
        <w:tc>
          <w:tcPr>
            <w:tcW w:w="567" w:type="dxa"/>
            <w:vMerge/>
          </w:tcPr>
          <w:p w:rsidR="00D4652B" w:rsidRPr="00FE0B2D" w:rsidRDefault="00D4652B" w:rsidP="00D465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52B" w:rsidRPr="00FE0B2D" w:rsidTr="00AF688C">
        <w:tc>
          <w:tcPr>
            <w:tcW w:w="567" w:type="dxa"/>
            <w:vMerge w:val="restart"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652B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D4652B" w:rsidRPr="00FE0B2D" w:rsidRDefault="00D4652B" w:rsidP="00D465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77 242,75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Московскоя обл., г.Электросталь ул. Мичурина, д. 3</w:t>
            </w:r>
          </w:p>
        </w:tc>
      </w:tr>
      <w:tr w:rsidR="00D4652B" w:rsidRPr="00FE0B2D" w:rsidTr="00AF688C">
        <w:tc>
          <w:tcPr>
            <w:tcW w:w="567" w:type="dxa"/>
            <w:vMerge/>
          </w:tcPr>
          <w:p w:rsidR="00D4652B" w:rsidRPr="00FE0B2D" w:rsidRDefault="00D4652B" w:rsidP="00D465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52B" w:rsidRPr="00FE0B2D" w:rsidTr="00AF688C">
        <w:tc>
          <w:tcPr>
            <w:tcW w:w="567" w:type="dxa"/>
            <w:vMerge/>
          </w:tcPr>
          <w:p w:rsidR="00D4652B" w:rsidRPr="00FE0B2D" w:rsidRDefault="00D4652B" w:rsidP="00D465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652B" w:rsidRPr="00FE0B2D" w:rsidRDefault="00D4652B" w:rsidP="00D465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D4652B" w:rsidRPr="00D4652B" w:rsidRDefault="00D4652B" w:rsidP="00D4652B">
            <w:pPr>
              <w:jc w:val="center"/>
              <w:rPr>
                <w:color w:val="000000"/>
                <w:sz w:val="16"/>
                <w:szCs w:val="16"/>
              </w:rPr>
            </w:pPr>
            <w:r w:rsidRPr="00D465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652B" w:rsidRPr="00FE0B2D" w:rsidRDefault="00D4652B" w:rsidP="00D465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670" w:rsidRPr="00FE0B2D" w:rsidTr="00AF688C">
        <w:tc>
          <w:tcPr>
            <w:tcW w:w="567" w:type="dxa"/>
            <w:vMerge w:val="restart"/>
          </w:tcPr>
          <w:p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843670" w:rsidRPr="001D37F6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2 090 959,73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77 830,67</w:t>
            </w:r>
          </w:p>
        </w:tc>
        <w:tc>
          <w:tcPr>
            <w:tcW w:w="1134" w:type="dxa"/>
            <w:vAlign w:val="center"/>
          </w:tcPr>
          <w:p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43670" w:rsidRPr="00FE0B2D" w:rsidRDefault="00843670" w:rsidP="008436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43670" w:rsidRPr="00FE0B2D" w:rsidTr="00AF688C">
        <w:tc>
          <w:tcPr>
            <w:tcW w:w="567" w:type="dxa"/>
            <w:vMerge/>
          </w:tcPr>
          <w:p w:rsidR="00843670" w:rsidRPr="00FE0B2D" w:rsidRDefault="00843670" w:rsidP="008436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43670" w:rsidRPr="00FE0B2D" w:rsidRDefault="00843670" w:rsidP="008436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3670" w:rsidRPr="00FE0B2D" w:rsidRDefault="00843670" w:rsidP="008436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766 141,73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843670" w:rsidRPr="00843670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843670">
              <w:rPr>
                <w:color w:val="000000"/>
                <w:sz w:val="16"/>
                <w:szCs w:val="16"/>
              </w:rPr>
              <w:t>38 022,67</w:t>
            </w:r>
          </w:p>
        </w:tc>
        <w:tc>
          <w:tcPr>
            <w:tcW w:w="1134" w:type="dxa"/>
            <w:vAlign w:val="center"/>
          </w:tcPr>
          <w:p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843670" w:rsidRPr="00C00CE3" w:rsidRDefault="00843670" w:rsidP="00843670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43670" w:rsidRPr="00FE0B2D" w:rsidRDefault="00843670" w:rsidP="008436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:rsidTr="00AF688C">
        <w:tc>
          <w:tcPr>
            <w:tcW w:w="567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616E" w:rsidRPr="00FE0B2D" w:rsidTr="00AF688C">
        <w:tc>
          <w:tcPr>
            <w:tcW w:w="567" w:type="dxa"/>
            <w:vMerge w:val="restart"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5D616E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5D616E" w:rsidRPr="00CD1C96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D616E" w:rsidRPr="00FE0B2D" w:rsidTr="00AF688C">
        <w:tc>
          <w:tcPr>
            <w:tcW w:w="567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2ED" w:rsidRPr="00FE0B2D" w:rsidTr="00AF688C">
        <w:tc>
          <w:tcPr>
            <w:tcW w:w="567" w:type="dxa"/>
            <w:vMerge w:val="restart"/>
          </w:tcPr>
          <w:p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8162ED" w:rsidRPr="0000439E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8162ED" w:rsidRPr="00FE0B2D" w:rsidRDefault="008162ED" w:rsidP="008162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1 792,57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162ED" w:rsidRPr="00FE0B2D" w:rsidTr="00AF688C">
        <w:tc>
          <w:tcPr>
            <w:tcW w:w="567" w:type="dxa"/>
            <w:vMerge/>
          </w:tcPr>
          <w:p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162ED" w:rsidRPr="00FE0B2D" w:rsidRDefault="008162ED" w:rsidP="008162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1 792,57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8162ED" w:rsidRPr="008162ED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8162E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162ED" w:rsidRPr="00F17A50" w:rsidRDefault="008162ED" w:rsidP="008162ED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162ED" w:rsidRPr="00FE0B2D" w:rsidRDefault="008162ED" w:rsidP="008162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162ED" w:rsidRPr="00FE0B2D" w:rsidRDefault="008162ED" w:rsidP="008162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1D74" w:rsidRPr="00FE0B2D" w:rsidTr="00AF688C">
        <w:tc>
          <w:tcPr>
            <w:tcW w:w="567" w:type="dxa"/>
            <w:vMerge w:val="restart"/>
          </w:tcPr>
          <w:p w:rsidR="00BF1D74" w:rsidRPr="00FE0B2D" w:rsidRDefault="00BF1D74" w:rsidP="00BF1D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2 176 290,48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89 999,49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1D74" w:rsidRPr="00FE0B2D" w:rsidTr="00AF688C">
        <w:tc>
          <w:tcPr>
            <w:tcW w:w="567" w:type="dxa"/>
            <w:vMerge/>
          </w:tcPr>
          <w:p w:rsidR="00BF1D74" w:rsidRPr="00FE0B2D" w:rsidRDefault="00BF1D74" w:rsidP="00BF1D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793 216,77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48 938,49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1D74" w:rsidRPr="00FE0B2D" w:rsidTr="00AF688C">
        <w:tc>
          <w:tcPr>
            <w:tcW w:w="567" w:type="dxa"/>
            <w:vMerge/>
          </w:tcPr>
          <w:p w:rsidR="00BF1D74" w:rsidRPr="00FE0B2D" w:rsidRDefault="00BF1D74" w:rsidP="00BF1D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1D74" w:rsidRPr="00FE0B2D" w:rsidRDefault="00BF1D74" w:rsidP="00BF1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1 383 073,71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BF1D74" w:rsidRPr="00BF1D74" w:rsidRDefault="00BF1D74" w:rsidP="00BF1D74">
            <w:pPr>
              <w:jc w:val="center"/>
              <w:rPr>
                <w:sz w:val="16"/>
                <w:szCs w:val="16"/>
              </w:rPr>
            </w:pPr>
            <w:r w:rsidRPr="00BF1D74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BF1D74" w:rsidRPr="009E5B63" w:rsidRDefault="00BF1D74" w:rsidP="00BF1D7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BF1D74" w:rsidRPr="00FE0B2D" w:rsidRDefault="00BF1D74" w:rsidP="00BF1D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401E0" w:rsidRPr="002618A2" w:rsidTr="00090508">
        <w:tc>
          <w:tcPr>
            <w:tcW w:w="4478" w:type="dxa"/>
          </w:tcPr>
          <w:p w:rsidR="001401E0" w:rsidRPr="000B2366" w:rsidRDefault="001401E0" w:rsidP="001401E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11 558 313,67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2 834 972,34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2 602 689,06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:rsidR="001401E0" w:rsidRPr="002618A2" w:rsidRDefault="001401E0" w:rsidP="00140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401E0" w:rsidRPr="002618A2" w:rsidTr="00090508">
        <w:tc>
          <w:tcPr>
            <w:tcW w:w="4478" w:type="dxa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2 446 809,79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637 664,39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548 212,15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rPr>
                <w:rFonts w:cs="Times New Roman"/>
              </w:rPr>
            </w:pPr>
          </w:p>
        </w:tc>
      </w:tr>
      <w:tr w:rsidR="001401E0" w:rsidRPr="002618A2" w:rsidTr="00090508">
        <w:tc>
          <w:tcPr>
            <w:tcW w:w="4478" w:type="dxa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8 636 374,27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2 050 792,16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1 943 515,50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rPr>
                <w:rFonts w:cs="Times New Roman"/>
              </w:rPr>
            </w:pPr>
          </w:p>
        </w:tc>
      </w:tr>
      <w:tr w:rsidR="001401E0" w:rsidRPr="002618A2" w:rsidTr="00090508">
        <w:tc>
          <w:tcPr>
            <w:tcW w:w="4478" w:type="dxa"/>
            <w:vAlign w:val="center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475 129,61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146 515,79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110 961,41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1401E0" w:rsidRPr="002618A2" w:rsidTr="000C1852">
        <w:trPr>
          <w:trHeight w:val="919"/>
        </w:trPr>
        <w:tc>
          <w:tcPr>
            <w:tcW w:w="4478" w:type="dxa"/>
            <w:vAlign w:val="center"/>
          </w:tcPr>
          <w:p w:rsidR="001401E0" w:rsidRPr="00310E1D" w:rsidRDefault="001401E0" w:rsidP="001401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11 150 613,69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2 573 215,10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2 543 775,88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:rsidR="001401E0" w:rsidRPr="004C5177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1401E0" w:rsidRPr="002618A2" w:rsidTr="00090508">
        <w:tc>
          <w:tcPr>
            <w:tcW w:w="4478" w:type="dxa"/>
            <w:vAlign w:val="center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2 357 002,25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573 548,73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1E0" w:rsidRPr="002618A2" w:rsidTr="00090508">
        <w:tc>
          <w:tcPr>
            <w:tcW w:w="4478" w:type="dxa"/>
            <w:vAlign w:val="center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8 386 669,93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1 905 703,68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1 906 128,64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rPr>
                <w:rFonts w:cs="Times New Roman"/>
              </w:rPr>
            </w:pPr>
          </w:p>
        </w:tc>
      </w:tr>
      <w:tr w:rsidR="001401E0" w:rsidRPr="002618A2" w:rsidTr="00090508">
        <w:tc>
          <w:tcPr>
            <w:tcW w:w="4478" w:type="dxa"/>
            <w:vAlign w:val="center"/>
          </w:tcPr>
          <w:p w:rsidR="001401E0" w:rsidRPr="002618A2" w:rsidRDefault="001401E0" w:rsidP="001401E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406 941,51</w:t>
            </w:r>
          </w:p>
        </w:tc>
        <w:tc>
          <w:tcPr>
            <w:tcW w:w="122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93 962,69</w:t>
            </w:r>
          </w:p>
        </w:tc>
        <w:tc>
          <w:tcPr>
            <w:tcW w:w="1275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95 326,41</w:t>
            </w:r>
          </w:p>
        </w:tc>
        <w:tc>
          <w:tcPr>
            <w:tcW w:w="1332" w:type="dxa"/>
            <w:vAlign w:val="center"/>
          </w:tcPr>
          <w:p w:rsidR="001401E0" w:rsidRPr="001401E0" w:rsidRDefault="001401E0" w:rsidP="001401E0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1401E0" w:rsidRPr="002618A2" w:rsidRDefault="001401E0" w:rsidP="001401E0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9D6440" w:rsidRDefault="002176FC" w:rsidP="002176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394 663,98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261 757,24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58 913,18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70 132,00</w:t>
            </w:r>
          </w:p>
        </w:tc>
        <w:tc>
          <w:tcPr>
            <w:tcW w:w="2287" w:type="dxa"/>
            <w:vMerge w:val="restart"/>
          </w:tcPr>
          <w:p w:rsidR="002176FC" w:rsidRPr="004C5177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89 807,54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64 115,66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5 891,32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15 939,00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236 668,34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145 088,48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37 386,86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54 193,00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68 188,10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52 553,10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15 635,00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E2F1B" w:rsidRPr="00FE0B2D" w:rsidTr="00D813D5">
        <w:tc>
          <w:tcPr>
            <w:tcW w:w="567" w:type="dxa"/>
            <w:vMerge w:val="restart"/>
          </w:tcPr>
          <w:p w:rsidR="00EE2F1B" w:rsidRPr="00FE0B2D" w:rsidRDefault="00EE2F1B" w:rsidP="00EE2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E2F1B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EE2F1B" w:rsidRPr="00FE0B2D" w:rsidRDefault="00EE2F1B" w:rsidP="00EE2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10 221 696,56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2 404 666,09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2 342 940,61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:rsidR="00EE2F1B" w:rsidRPr="00FE0B2D" w:rsidRDefault="00EE2F1B" w:rsidP="00EE2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E2F1B" w:rsidRPr="00FE0B2D" w:rsidRDefault="00EE2F1B" w:rsidP="00EE2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E2F1B" w:rsidRPr="00FE0B2D" w:rsidTr="00D813D5">
        <w:tc>
          <w:tcPr>
            <w:tcW w:w="567" w:type="dxa"/>
            <w:vMerge/>
          </w:tcPr>
          <w:p w:rsidR="00EE2F1B" w:rsidRPr="00FE0B2D" w:rsidRDefault="00EE2F1B" w:rsidP="00EE2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sz w:val="16"/>
                <w:szCs w:val="16"/>
              </w:rPr>
            </w:pPr>
            <w:r w:rsidRPr="00EE2F1B">
              <w:rPr>
                <w:sz w:val="16"/>
                <w:szCs w:val="16"/>
              </w:rPr>
              <w:t>1 972 102,56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516 478,09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454 752,61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E2F1B" w:rsidRPr="00FE0B2D" w:rsidRDefault="00EE2F1B" w:rsidP="00EE2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F1B" w:rsidRPr="00FE0B2D" w:rsidTr="00D813D5">
        <w:tc>
          <w:tcPr>
            <w:tcW w:w="567" w:type="dxa"/>
            <w:vMerge/>
          </w:tcPr>
          <w:p w:rsidR="00EE2F1B" w:rsidRPr="00FE0B2D" w:rsidRDefault="00EE2F1B" w:rsidP="00EE2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2F1B" w:rsidRPr="00FE0B2D" w:rsidRDefault="00EE2F1B" w:rsidP="00EE2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sz w:val="16"/>
                <w:szCs w:val="16"/>
              </w:rPr>
            </w:pPr>
            <w:r w:rsidRPr="00EE2F1B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EE2F1B" w:rsidRPr="00EE2F1B" w:rsidRDefault="00EE2F1B" w:rsidP="00EE2F1B">
            <w:pPr>
              <w:jc w:val="center"/>
              <w:rPr>
                <w:color w:val="000000"/>
                <w:sz w:val="16"/>
                <w:szCs w:val="16"/>
              </w:rPr>
            </w:pPr>
            <w:r w:rsidRPr="00EE2F1B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E2F1B" w:rsidRPr="00FE0B2D" w:rsidRDefault="00EE2F1B" w:rsidP="00EE2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26C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3E26CD" w:rsidRPr="000C3112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26CD" w:rsidRPr="000C3112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643" w:rsidRPr="00FE0B2D" w:rsidTr="00D813D5">
        <w:tc>
          <w:tcPr>
            <w:tcW w:w="567" w:type="dxa"/>
            <w:vMerge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009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D6643" w:rsidRPr="00ED6643" w:rsidRDefault="00ED6643" w:rsidP="00ED66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D6643">
              <w:rPr>
                <w:color w:val="000000"/>
                <w:sz w:val="16"/>
                <w:szCs w:val="16"/>
              </w:rPr>
              <w:t>462 688,31</w:t>
            </w:r>
          </w:p>
        </w:tc>
        <w:tc>
          <w:tcPr>
            <w:tcW w:w="1134" w:type="dxa"/>
            <w:vAlign w:val="center"/>
          </w:tcPr>
          <w:p w:rsidR="00ED6643" w:rsidRPr="003E26CD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:rsidR="00ED6643" w:rsidRPr="00B7229B" w:rsidRDefault="00ED6643" w:rsidP="00ED664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D6643" w:rsidRPr="00FE0B2D" w:rsidTr="00D813D5">
        <w:tc>
          <w:tcPr>
            <w:tcW w:w="567" w:type="dxa"/>
            <w:vMerge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D6643" w:rsidRPr="00283A6A" w:rsidRDefault="00ED6643" w:rsidP="00ED66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009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D6643" w:rsidRPr="00283A6A" w:rsidRDefault="00ED6643" w:rsidP="00ED6643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D6643" w:rsidRPr="00ED6643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ED6643">
              <w:rPr>
                <w:color w:val="000000"/>
                <w:sz w:val="16"/>
                <w:szCs w:val="16"/>
              </w:rPr>
              <w:t>462 688,31</w:t>
            </w:r>
          </w:p>
        </w:tc>
        <w:tc>
          <w:tcPr>
            <w:tcW w:w="1134" w:type="dxa"/>
            <w:vAlign w:val="center"/>
          </w:tcPr>
          <w:p w:rsidR="00ED6643" w:rsidRPr="003E26CD" w:rsidRDefault="00ED6643" w:rsidP="00ED6643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:rsidR="00ED6643" w:rsidRPr="00B7229B" w:rsidRDefault="00ED6643" w:rsidP="00ED664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6643" w:rsidRPr="00283A6A" w:rsidRDefault="00ED6643" w:rsidP="00ED66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DEB" w:rsidRPr="00FE0B2D" w:rsidTr="00D813D5">
        <w:tc>
          <w:tcPr>
            <w:tcW w:w="567" w:type="dxa"/>
            <w:vMerge w:val="restart"/>
          </w:tcPr>
          <w:p w:rsidR="00CB2DEB" w:rsidRPr="00283A6A" w:rsidRDefault="00CB2DEB" w:rsidP="00CB2D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CB2DEB" w:rsidRPr="00283A6A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B2DEB" w:rsidRPr="00283A6A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CB2DEB" w:rsidRPr="00283A6A" w:rsidRDefault="00CB2DEB" w:rsidP="00CB2D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B2DEB" w:rsidRPr="00283A6A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20 626,24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11 634,30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B2DEB" w:rsidRPr="00283A6A" w:rsidRDefault="00CB2DEB" w:rsidP="00CB2D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B2DEB" w:rsidRPr="00283A6A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CB2DEB" w:rsidRPr="00FE0B2D" w:rsidTr="00D813D5">
        <w:tc>
          <w:tcPr>
            <w:tcW w:w="567" w:type="dxa"/>
            <w:vMerge/>
          </w:tcPr>
          <w:p w:rsidR="00CB2DEB" w:rsidRPr="00FE0B2D" w:rsidRDefault="00CB2DEB" w:rsidP="00CB2D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2DEB" w:rsidRPr="00FE0B2D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DEB" w:rsidRPr="00FE0B2D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B2DEB" w:rsidRPr="00FE0B2D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sz w:val="16"/>
                <w:szCs w:val="16"/>
              </w:rPr>
            </w:pPr>
            <w:r w:rsidRPr="00CB2DEB">
              <w:rPr>
                <w:sz w:val="16"/>
                <w:szCs w:val="16"/>
              </w:rPr>
              <w:t>20 626,24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11 634,30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:rsidR="00CB2DEB" w:rsidRPr="00CB2DEB" w:rsidRDefault="00CB2DEB" w:rsidP="00CB2DEB">
            <w:pPr>
              <w:jc w:val="center"/>
              <w:rPr>
                <w:color w:val="000000"/>
                <w:sz w:val="16"/>
                <w:szCs w:val="16"/>
              </w:rPr>
            </w:pPr>
            <w:r w:rsidRPr="00CB2DE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B2DEB" w:rsidRPr="00FE0B2D" w:rsidRDefault="00CB2DEB" w:rsidP="00CB2D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B2DEB" w:rsidRPr="00FE0B2D" w:rsidRDefault="00CB2DEB" w:rsidP="00CB2D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D813D5">
        <w:tc>
          <w:tcPr>
            <w:tcW w:w="567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:rsidTr="00D813D5"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223E44">
        <w:trPr>
          <w:trHeight w:val="584"/>
        </w:trPr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:rsidTr="00D813D5">
        <w:tc>
          <w:tcPr>
            <w:tcW w:w="567" w:type="dxa"/>
            <w:vMerge w:val="restart"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:rsidTr="00D813D5">
        <w:tc>
          <w:tcPr>
            <w:tcW w:w="567" w:type="dxa"/>
            <w:vMerge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:rsidTr="00D813D5">
        <w:tc>
          <w:tcPr>
            <w:tcW w:w="567" w:type="dxa"/>
            <w:vMerge w:val="restart"/>
          </w:tcPr>
          <w:p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242A4" w:rsidRP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3" w:type="dxa"/>
            <w:vMerge w:val="restart"/>
          </w:tcPr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:rsidTr="00D813D5">
        <w:tc>
          <w:tcPr>
            <w:tcW w:w="567" w:type="dxa"/>
            <w:vMerge/>
          </w:tcPr>
          <w:p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sz w:val="16"/>
                <w:szCs w:val="16"/>
              </w:rPr>
            </w:pPr>
            <w:r w:rsidRPr="008242A4">
              <w:rPr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242A4" w:rsidRPr="000C3112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:rsidTr="00D813D5">
        <w:tc>
          <w:tcPr>
            <w:tcW w:w="567" w:type="dxa"/>
            <w:vMerge w:val="restart"/>
          </w:tcPr>
          <w:p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 w:val="restart"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:rsidTr="00D813D5">
        <w:tc>
          <w:tcPr>
            <w:tcW w:w="567" w:type="dxa"/>
            <w:vMerge w:val="restart"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938 586,95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198 888,07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80984" w:rsidRPr="00FE0B2D" w:rsidTr="00D813D5">
        <w:tc>
          <w:tcPr>
            <w:tcW w:w="567" w:type="dxa"/>
            <w:vMerge/>
          </w:tcPr>
          <w:p w:rsidR="00F80984" w:rsidRPr="00FE0B2D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398 440,26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:rsidTr="00D813D5">
        <w:tc>
          <w:tcPr>
            <w:tcW w:w="567" w:type="dxa"/>
            <w:vMerge/>
          </w:tcPr>
          <w:p w:rsidR="00F80984" w:rsidRPr="00FE0B2D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Pr="00FE0B2D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358 214,75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67 902,68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66 306,89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984" w:rsidRPr="00FE0B2D" w:rsidTr="00D813D5">
        <w:trPr>
          <w:trHeight w:val="787"/>
        </w:trPr>
        <w:tc>
          <w:tcPr>
            <w:tcW w:w="567" w:type="dxa"/>
            <w:vMerge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FE0B2D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181 931,94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BE6A68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644"/>
        </w:trPr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705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:rsidTr="00D813D5">
        <w:tc>
          <w:tcPr>
            <w:tcW w:w="567" w:type="dxa"/>
            <w:vMerge w:val="restart"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80984" w:rsidRPr="00FE0B2D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328 448,71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80984" w:rsidRPr="00FE0B2D" w:rsidTr="00D813D5">
        <w:tc>
          <w:tcPr>
            <w:tcW w:w="567" w:type="dxa"/>
            <w:vMerge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F92516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:rsidTr="00D813D5">
        <w:tc>
          <w:tcPr>
            <w:tcW w:w="567" w:type="dxa"/>
            <w:vMerge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Pr="000C0BAB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114 727,59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:rsidTr="00D813D5">
        <w:trPr>
          <w:trHeight w:val="584"/>
        </w:trPr>
        <w:tc>
          <w:tcPr>
            <w:tcW w:w="567" w:type="dxa"/>
            <w:vMerge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Pr="000C0BAB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181 931,94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F80984" w:rsidRPr="000C3112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:rsidTr="00D813D5">
        <w:tc>
          <w:tcPr>
            <w:tcW w:w="567" w:type="dxa"/>
            <w:vMerge w:val="restart"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C845CB" w:rsidRPr="0073440E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C845CB" w:rsidRPr="0073440E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C845CB" w:rsidRPr="0073440E" w:rsidRDefault="00C845CB" w:rsidP="00C84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463 257,50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845CB" w:rsidRPr="00FE0B2D" w:rsidTr="00D813D5">
        <w:tc>
          <w:tcPr>
            <w:tcW w:w="567" w:type="dxa"/>
            <w:vMerge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845CB" w:rsidRPr="0073440E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845CB" w:rsidRPr="0073440E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299 076,50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:rsidTr="00D813D5">
        <w:tc>
          <w:tcPr>
            <w:tcW w:w="567" w:type="dxa"/>
            <w:vMerge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845CB" w:rsidRPr="0073440E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845CB" w:rsidRPr="0073440E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845CB" w:rsidRPr="00025154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:rsidTr="00D813D5">
        <w:tc>
          <w:tcPr>
            <w:tcW w:w="567" w:type="dxa"/>
            <w:vMerge w:val="restart"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C845CB" w:rsidRPr="0073440E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C845CB" w:rsidRPr="0073440E" w:rsidRDefault="00C845CB" w:rsidP="00C84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198 972,00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845CB" w:rsidRPr="00FE0B2D" w:rsidTr="00D813D5">
        <w:tc>
          <w:tcPr>
            <w:tcW w:w="567" w:type="dxa"/>
            <w:vMerge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845CB" w:rsidRPr="000C0BAB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845CB" w:rsidRPr="00460E72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34 791,00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45CB" w:rsidRPr="00FE0B2D" w:rsidTr="00D813D5">
        <w:tc>
          <w:tcPr>
            <w:tcW w:w="567" w:type="dxa"/>
            <w:vMerge/>
          </w:tcPr>
          <w:p w:rsidR="00C845CB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45CB" w:rsidRPr="000C0BAB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845CB" w:rsidRPr="000C0BAB" w:rsidRDefault="00C845CB" w:rsidP="00C845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845CB" w:rsidRPr="00460E72" w:rsidRDefault="00C845CB" w:rsidP="00C845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C845CB" w:rsidRPr="00C845CB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845CB" w:rsidRPr="00C318A5" w:rsidRDefault="00C845CB" w:rsidP="00C845CB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C845CB" w:rsidRPr="000C3112" w:rsidRDefault="00C845CB" w:rsidP="00C845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845CB" w:rsidRPr="007D1D7A" w:rsidRDefault="00C845CB" w:rsidP="00C84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0984" w:rsidRPr="00FE0B2D" w:rsidTr="00D813D5">
        <w:tc>
          <w:tcPr>
            <w:tcW w:w="567" w:type="dxa"/>
            <w:vMerge w:val="restart"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F80984" w:rsidRPr="000C0BAB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F80984" w:rsidRPr="00460E72" w:rsidRDefault="00F80984" w:rsidP="00F80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80984" w:rsidRPr="007D1D7A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80984" w:rsidRPr="007D1D7A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80984" w:rsidRPr="00FE0B2D" w:rsidTr="00D813D5">
        <w:tc>
          <w:tcPr>
            <w:tcW w:w="567" w:type="dxa"/>
            <w:vMerge/>
          </w:tcPr>
          <w:p w:rsidR="00F80984" w:rsidRDefault="00F80984" w:rsidP="00F80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984" w:rsidRDefault="00F80984" w:rsidP="00F809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80984" w:rsidRPr="00460E72" w:rsidRDefault="00F80984" w:rsidP="00F80984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F80984" w:rsidRPr="00F80984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0984" w:rsidRPr="008F1E57" w:rsidRDefault="00F80984" w:rsidP="00F80984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80984" w:rsidRPr="007D1D7A" w:rsidRDefault="00F80984" w:rsidP="00F809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283"/>
        </w:trPr>
        <w:tc>
          <w:tcPr>
            <w:tcW w:w="567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:rsidTr="003A7C55"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539"/>
        </w:trPr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6C30" w:rsidRPr="00532F11" w:rsidTr="00D813D5">
        <w:trPr>
          <w:trHeight w:val="283"/>
        </w:trPr>
        <w:tc>
          <w:tcPr>
            <w:tcW w:w="567" w:type="dxa"/>
            <w:vMerge/>
          </w:tcPr>
          <w:p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F66C30" w:rsidRPr="00532F11" w:rsidRDefault="00F66C30" w:rsidP="00F66C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F66C30" w:rsidRPr="00532F11" w:rsidRDefault="00F66C30" w:rsidP="00F66C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66C30" w:rsidRPr="00F66C30" w:rsidRDefault="00F66C30" w:rsidP="00F66C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66C30" w:rsidRPr="00F66C30" w:rsidRDefault="00F66C30" w:rsidP="00F66C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66C30" w:rsidRPr="00532F11" w:rsidTr="00D813D5">
        <w:tc>
          <w:tcPr>
            <w:tcW w:w="567" w:type="dxa"/>
            <w:vMerge/>
          </w:tcPr>
          <w:p w:rsidR="00F66C30" w:rsidRPr="00532F11" w:rsidRDefault="00F66C30" w:rsidP="00F66C3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66C30" w:rsidRPr="00532F11" w:rsidRDefault="00F66C30" w:rsidP="00F66C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66C30" w:rsidRPr="00F66C30" w:rsidRDefault="00F66C30" w:rsidP="00F66C30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66C30" w:rsidRPr="00F66C30" w:rsidRDefault="00F66C30" w:rsidP="00F66C30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66C30" w:rsidRPr="00532F11" w:rsidRDefault="00F66C30" w:rsidP="00F66C30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66C30" w:rsidRPr="00532F11" w:rsidRDefault="00F66C30" w:rsidP="00F66C3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:rsidTr="00D813D5">
        <w:trPr>
          <w:trHeight w:val="539"/>
        </w:trPr>
        <w:tc>
          <w:tcPr>
            <w:tcW w:w="567" w:type="dxa"/>
            <w:vMerge/>
          </w:tcPr>
          <w:p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827602" w:rsidRPr="00615B45" w:rsidRDefault="00827602" w:rsidP="0082760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348 646,94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219 601,76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70 799,97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43 790,50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21 960,18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7 080,00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236 668,34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145 088,48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41 428,37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22 291,60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327 066,94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198 021,76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41 632,50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19 802,18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217 246,34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125 666,48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 w:val="restart"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18 320,39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5 943,39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3 407,34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11 584,75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2 020,75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3A7C55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3 328,30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0C3112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г.Электросталь, ул. Карла Маркса, д.44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 w:val="restart"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639A8" w:rsidRPr="00061B4B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 w:val="restart"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 w:val="restart"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:rsidTr="00D813D5">
        <w:tc>
          <w:tcPr>
            <w:tcW w:w="567" w:type="dxa"/>
            <w:vMerge w:val="restart"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4639A8" w:rsidRDefault="004639A8" w:rsidP="00463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4639A8" w:rsidRPr="00234C65" w:rsidRDefault="004639A8" w:rsidP="004639A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4639A8" w:rsidRPr="000F302E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2021-2022 годы</w:t>
            </w: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639A8" w:rsidRPr="007D1D7A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4639A8" w:rsidRPr="007D1D7A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:rsidTr="00D813D5"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7D1D7A" w:rsidTr="003D6A38">
        <w:trPr>
          <w:trHeight w:val="600"/>
        </w:trPr>
        <w:tc>
          <w:tcPr>
            <w:tcW w:w="567" w:type="dxa"/>
            <w:vMerge/>
          </w:tcPr>
          <w:p w:rsid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Default="004639A8" w:rsidP="004639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639A8" w:rsidRPr="007D1D7A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 w:val="restart"/>
          </w:tcPr>
          <w:p w:rsidR="004639A8" w:rsidRPr="00FE0B2D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11 558 313,67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2 834 972,34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2 602 689,06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Pr="00FE0B2D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2 446 809,79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637 664,39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548 212,15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9A8" w:rsidRPr="00FE0B2D" w:rsidTr="00D813D5">
        <w:tc>
          <w:tcPr>
            <w:tcW w:w="567" w:type="dxa"/>
            <w:vMerge/>
          </w:tcPr>
          <w:p w:rsidR="004639A8" w:rsidRPr="00FE0B2D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lastRenderedPageBreak/>
              <w:t>8 636 374,27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2 050 792,16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1 943 515,50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9A8" w:rsidRPr="00FE0B2D" w:rsidTr="00D813D5">
        <w:trPr>
          <w:trHeight w:val="421"/>
        </w:trPr>
        <w:tc>
          <w:tcPr>
            <w:tcW w:w="567" w:type="dxa"/>
            <w:vMerge/>
          </w:tcPr>
          <w:p w:rsidR="004639A8" w:rsidRPr="00FE0B2D" w:rsidRDefault="004639A8" w:rsidP="004639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39A8" w:rsidRPr="00FE0B2D" w:rsidRDefault="004639A8" w:rsidP="004639A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475 129,61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4639A8" w:rsidRPr="004639A8" w:rsidRDefault="004639A8" w:rsidP="004639A8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:rsidR="004639A8" w:rsidRPr="00FE0B2D" w:rsidRDefault="004639A8" w:rsidP="00463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F6526" w:rsidRPr="002618A2" w:rsidTr="009E6752">
        <w:tc>
          <w:tcPr>
            <w:tcW w:w="4478" w:type="dxa"/>
          </w:tcPr>
          <w:p w:rsidR="002F6526" w:rsidRPr="000B2366" w:rsidRDefault="002F6526" w:rsidP="002F652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623 120,77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107 748,26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2F6526" w:rsidRPr="002618A2" w:rsidRDefault="002F6526" w:rsidP="002F6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F6526" w:rsidRPr="002618A2" w:rsidTr="009E6752">
        <w:tc>
          <w:tcPr>
            <w:tcW w:w="4478" w:type="dxa"/>
          </w:tcPr>
          <w:p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609 633,77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104 701,26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2F6526" w:rsidRPr="002618A2" w:rsidRDefault="002F6526" w:rsidP="002F6526">
            <w:pPr>
              <w:rPr>
                <w:rFonts w:cs="Times New Roman"/>
              </w:rPr>
            </w:pPr>
          </w:p>
        </w:tc>
      </w:tr>
      <w:tr w:rsidR="002F6526" w:rsidRPr="002618A2" w:rsidTr="009E6752">
        <w:tc>
          <w:tcPr>
            <w:tcW w:w="4478" w:type="dxa"/>
          </w:tcPr>
          <w:p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13 487,00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2F6526" w:rsidRPr="002618A2" w:rsidRDefault="002F6526" w:rsidP="002F652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2F6526" w:rsidRPr="002618A2" w:rsidTr="009E6752">
        <w:tc>
          <w:tcPr>
            <w:tcW w:w="4478" w:type="dxa"/>
            <w:vAlign w:val="center"/>
          </w:tcPr>
          <w:p w:rsidR="002F6526" w:rsidRPr="00310E1D" w:rsidRDefault="002F6526" w:rsidP="002F652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509 870,77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107 748,26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2F6526" w:rsidRPr="00EE1CEA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2F6526" w:rsidRPr="002618A2" w:rsidTr="009E6752">
        <w:tc>
          <w:tcPr>
            <w:tcW w:w="4478" w:type="dxa"/>
            <w:vAlign w:val="center"/>
          </w:tcPr>
          <w:p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506 823,77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104 701,26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526" w:rsidRPr="002618A2" w:rsidTr="009E6752">
        <w:tc>
          <w:tcPr>
            <w:tcW w:w="4478" w:type="dxa"/>
            <w:vAlign w:val="center"/>
          </w:tcPr>
          <w:p w:rsidR="002F6526" w:rsidRPr="002618A2" w:rsidRDefault="002F6526" w:rsidP="002F652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2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3 047,00</w:t>
            </w:r>
          </w:p>
        </w:tc>
        <w:tc>
          <w:tcPr>
            <w:tcW w:w="1275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F6526" w:rsidRPr="002F6526" w:rsidRDefault="002F6526" w:rsidP="002F6526">
            <w:pPr>
              <w:jc w:val="center"/>
              <w:rPr>
                <w:sz w:val="20"/>
                <w:szCs w:val="20"/>
              </w:rPr>
            </w:pPr>
            <w:r w:rsidRPr="002F652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2F6526" w:rsidRPr="002618A2" w:rsidRDefault="002F6526" w:rsidP="002F652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96B" w:rsidRPr="00FE0B2D" w:rsidTr="0079543A">
        <w:tc>
          <w:tcPr>
            <w:tcW w:w="567" w:type="dxa"/>
            <w:vMerge w:val="restart"/>
          </w:tcPr>
          <w:p w:rsidR="0052396B" w:rsidRPr="00FE0B2D" w:rsidRDefault="0052396B" w:rsidP="00523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2396B" w:rsidRPr="001B4EA7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2396B" w:rsidRPr="00FE0B2D" w:rsidRDefault="0052396B" w:rsidP="00523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396B">
              <w:rPr>
                <w:sz w:val="16"/>
                <w:szCs w:val="16"/>
              </w:rPr>
              <w:t>480 800,54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sz w:val="16"/>
                <w:szCs w:val="16"/>
              </w:rPr>
            </w:pPr>
            <w:r w:rsidRPr="0052396B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72 802,16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52396B" w:rsidRPr="00FE0B2D" w:rsidRDefault="0052396B" w:rsidP="00523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396B" w:rsidRPr="00FE0B2D" w:rsidRDefault="0052396B" w:rsidP="00523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2396B" w:rsidRPr="00FE0B2D" w:rsidTr="0079543A">
        <w:tc>
          <w:tcPr>
            <w:tcW w:w="567" w:type="dxa"/>
            <w:vMerge/>
          </w:tcPr>
          <w:p w:rsidR="0052396B" w:rsidRPr="00FE0B2D" w:rsidRDefault="0052396B" w:rsidP="005239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sz w:val="16"/>
                <w:szCs w:val="16"/>
              </w:rPr>
            </w:pPr>
            <w:r w:rsidRPr="0052396B">
              <w:rPr>
                <w:sz w:val="16"/>
                <w:szCs w:val="16"/>
              </w:rPr>
              <w:t>480 800,54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72 802,16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:rsidTr="0079543A">
        <w:tc>
          <w:tcPr>
            <w:tcW w:w="567" w:type="dxa"/>
            <w:vMerge w:val="restart"/>
          </w:tcPr>
          <w:p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:rsidTr="0079543A">
        <w:tc>
          <w:tcPr>
            <w:tcW w:w="567" w:type="dxa"/>
            <w:vMerge/>
          </w:tcPr>
          <w:p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:rsidTr="0079543A">
        <w:tc>
          <w:tcPr>
            <w:tcW w:w="567" w:type="dxa"/>
            <w:vMerge w:val="restart"/>
          </w:tcPr>
          <w:p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:rsidTr="0079543A">
        <w:tc>
          <w:tcPr>
            <w:tcW w:w="567" w:type="dxa"/>
            <w:vMerge/>
          </w:tcPr>
          <w:p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396B" w:rsidRPr="00FE0B2D" w:rsidTr="0079543A">
        <w:tc>
          <w:tcPr>
            <w:tcW w:w="567" w:type="dxa"/>
            <w:vMerge w:val="restart"/>
          </w:tcPr>
          <w:p w:rsidR="0052396B" w:rsidRPr="004912BE" w:rsidRDefault="0052396B" w:rsidP="005239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52396B" w:rsidRDefault="0052396B" w:rsidP="005239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52396B" w:rsidRDefault="0052396B" w:rsidP="0052396B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52396B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  <w:p w:rsidR="0052396B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  <w:p w:rsidR="0052396B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  <w:p w:rsidR="0052396B" w:rsidRPr="004912BE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2396B" w:rsidRPr="00FE0B2D" w:rsidRDefault="0052396B" w:rsidP="00523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396B" w:rsidRPr="00FE0B2D" w:rsidRDefault="0052396B" w:rsidP="00523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2 382,67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127,56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396B" w:rsidRPr="00FE0B2D" w:rsidRDefault="0052396B" w:rsidP="005239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52396B" w:rsidRPr="00FE0B2D" w:rsidTr="0079543A">
        <w:tc>
          <w:tcPr>
            <w:tcW w:w="567" w:type="dxa"/>
            <w:vMerge/>
          </w:tcPr>
          <w:p w:rsidR="0052396B" w:rsidRPr="00FE0B2D" w:rsidRDefault="0052396B" w:rsidP="005239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sz w:val="16"/>
                <w:szCs w:val="16"/>
              </w:rPr>
            </w:pPr>
            <w:r w:rsidRPr="0052396B">
              <w:rPr>
                <w:sz w:val="16"/>
                <w:szCs w:val="16"/>
              </w:rPr>
              <w:t>2 382,67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127,56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396B" w:rsidRPr="0052396B" w:rsidRDefault="0052396B" w:rsidP="0052396B">
            <w:pPr>
              <w:jc w:val="center"/>
              <w:rPr>
                <w:color w:val="000000"/>
                <w:sz w:val="16"/>
                <w:szCs w:val="16"/>
              </w:rPr>
            </w:pPr>
            <w:r w:rsidRPr="005239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396B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:rsidTr="0079543A">
        <w:tc>
          <w:tcPr>
            <w:tcW w:w="567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:rsidTr="0079543A">
        <w:tc>
          <w:tcPr>
            <w:tcW w:w="567" w:type="dxa"/>
            <w:vMerge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:rsidTr="0079543A">
        <w:tc>
          <w:tcPr>
            <w:tcW w:w="567" w:type="dxa"/>
            <w:vMerge w:val="restart"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6523CA" w:rsidRPr="00547E9B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523CA" w:rsidRPr="00FE0B2D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523CA" w:rsidRPr="00FE0B2D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523CA" w:rsidRPr="00FE0B2D" w:rsidTr="0079543A">
        <w:tc>
          <w:tcPr>
            <w:tcW w:w="567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:rsidTr="0079543A">
        <w:tc>
          <w:tcPr>
            <w:tcW w:w="567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:rsidTr="0079543A">
        <w:tc>
          <w:tcPr>
            <w:tcW w:w="567" w:type="dxa"/>
            <w:vMerge w:val="restart"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6523CA" w:rsidRPr="00547E9B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523CA" w:rsidRPr="00FE0B2D" w:rsidRDefault="0052396B" w:rsidP="005239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за напряженный труд.</w:t>
            </w:r>
          </w:p>
        </w:tc>
      </w:tr>
      <w:tr w:rsidR="006523CA" w:rsidRPr="00FE0B2D" w:rsidTr="0079543A">
        <w:tc>
          <w:tcPr>
            <w:tcW w:w="567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523CA" w:rsidRPr="00FE0B2D" w:rsidTr="0079543A">
        <w:tc>
          <w:tcPr>
            <w:tcW w:w="567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523CA" w:rsidRPr="00AE5013" w:rsidRDefault="006523CA" w:rsidP="006523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523CA" w:rsidRDefault="006523CA" w:rsidP="00652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523CA" w:rsidRPr="00FE0B2D" w:rsidRDefault="006523CA" w:rsidP="006523C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523CA" w:rsidRPr="006523CA" w:rsidRDefault="006523CA" w:rsidP="006523CA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523CA" w:rsidRPr="00583CF0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523CA" w:rsidRDefault="006523CA" w:rsidP="006523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FE0B2D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</w:t>
            </w:r>
            <w:r w:rsidR="002367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2367DA" w:rsidRPr="00AE501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2367DA" w:rsidRDefault="002367DA" w:rsidP="00236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7F4089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DF178F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216D0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7F5C57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67DA" w:rsidRPr="009D0336" w:rsidRDefault="002367DA" w:rsidP="002367DA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2367DA" w:rsidRPr="009D0336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7F5C57" w:rsidRDefault="0030613D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2367DA" w:rsidRPr="007F5C57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1B6A5B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2367DA" w:rsidRPr="007F5C57">
              <w:rPr>
                <w:rFonts w:cs="Times New Roman"/>
                <w:sz w:val="16"/>
                <w:szCs w:val="16"/>
              </w:rPr>
              <w:t>.</w:t>
            </w:r>
            <w:r w:rsidR="002367DA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A872A3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883B04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522685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FE0B2D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2367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2367DA" w:rsidRPr="00092D63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 w:val="restart"/>
          </w:tcPr>
          <w:p w:rsidR="002367DA" w:rsidRPr="00FE0B2D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2367DA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</w:tcPr>
          <w:p w:rsidR="002367DA" w:rsidRDefault="002367DA" w:rsidP="00236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2367DA" w:rsidRPr="00FE0B2D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2367DA" w:rsidRPr="00FE0B2D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FE0B2D" w:rsidTr="0079543A">
        <w:tc>
          <w:tcPr>
            <w:tcW w:w="567" w:type="dxa"/>
            <w:vMerge/>
          </w:tcPr>
          <w:p w:rsidR="002367DA" w:rsidRPr="00FE0B2D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Pr="00D878B4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2367DA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FE0B2D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:rsidTr="0079543A">
        <w:tc>
          <w:tcPr>
            <w:tcW w:w="567" w:type="dxa"/>
            <w:vMerge w:val="restart"/>
          </w:tcPr>
          <w:p w:rsidR="002367DA" w:rsidRPr="002440EC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2367DA"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2367DA" w:rsidRPr="002440EC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2367DA" w:rsidRPr="002440EC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367DA" w:rsidRPr="002440EC" w:rsidTr="0079543A">
        <w:tc>
          <w:tcPr>
            <w:tcW w:w="567" w:type="dxa"/>
            <w:vMerge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:rsidTr="0079543A">
        <w:tc>
          <w:tcPr>
            <w:tcW w:w="567" w:type="dxa"/>
            <w:vMerge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:rsidTr="0079543A">
        <w:tc>
          <w:tcPr>
            <w:tcW w:w="567" w:type="dxa"/>
            <w:vMerge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:rsidTr="0079543A">
        <w:tc>
          <w:tcPr>
            <w:tcW w:w="567" w:type="dxa"/>
            <w:vMerge w:val="restart"/>
          </w:tcPr>
          <w:p w:rsidR="002367DA" w:rsidRPr="002440EC" w:rsidRDefault="0031731E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2367DA"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Создание детских технопарков «Кванториум»  </w:t>
            </w:r>
          </w:p>
        </w:tc>
        <w:tc>
          <w:tcPr>
            <w:tcW w:w="850" w:type="dxa"/>
            <w:vMerge w:val="restart"/>
          </w:tcPr>
          <w:p w:rsidR="002367DA" w:rsidRPr="002440EC" w:rsidRDefault="002367DA" w:rsidP="00236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</w:p>
        </w:tc>
        <w:tc>
          <w:tcPr>
            <w:tcW w:w="1351" w:type="dxa"/>
          </w:tcPr>
          <w:p w:rsidR="002367DA" w:rsidRPr="002440EC" w:rsidRDefault="002367DA" w:rsidP="00236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«Кванториум»</w:t>
            </w:r>
          </w:p>
        </w:tc>
      </w:tr>
      <w:tr w:rsidR="002367DA" w:rsidRPr="002440EC" w:rsidTr="0079543A">
        <w:tc>
          <w:tcPr>
            <w:tcW w:w="567" w:type="dxa"/>
            <w:vMerge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367DA" w:rsidRPr="002440EC" w:rsidTr="0079543A">
        <w:tc>
          <w:tcPr>
            <w:tcW w:w="567" w:type="dxa"/>
            <w:vMerge/>
          </w:tcPr>
          <w:p w:rsidR="002367DA" w:rsidRPr="002440EC" w:rsidRDefault="002367DA" w:rsidP="00236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367DA" w:rsidRPr="002440EC" w:rsidRDefault="002367DA" w:rsidP="002367DA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7DA" w:rsidRPr="002440EC" w:rsidRDefault="002367DA" w:rsidP="00236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F4A" w:rsidRPr="00FE0B2D" w:rsidTr="0079543A">
        <w:tc>
          <w:tcPr>
            <w:tcW w:w="567" w:type="dxa"/>
            <w:vMerge w:val="restart"/>
          </w:tcPr>
          <w:p w:rsidR="00814F4A" w:rsidRPr="00FE0B2D" w:rsidRDefault="00814F4A" w:rsidP="00814F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623 120,77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107 748,26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F4A" w:rsidRPr="00FE0B2D" w:rsidTr="0079543A">
        <w:tc>
          <w:tcPr>
            <w:tcW w:w="567" w:type="dxa"/>
            <w:vMerge/>
          </w:tcPr>
          <w:p w:rsidR="00814F4A" w:rsidRPr="00FE0B2D" w:rsidRDefault="00814F4A" w:rsidP="00814F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609 633,77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104 701,26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F4A" w:rsidRPr="00FE0B2D" w:rsidTr="0079543A">
        <w:tc>
          <w:tcPr>
            <w:tcW w:w="567" w:type="dxa"/>
            <w:vMerge/>
          </w:tcPr>
          <w:p w:rsidR="00814F4A" w:rsidRPr="00FE0B2D" w:rsidRDefault="00814F4A" w:rsidP="00814F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F4A" w:rsidRPr="00FE0B2D" w:rsidRDefault="00814F4A" w:rsidP="00814F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4F4A" w:rsidRPr="00814F4A" w:rsidRDefault="00814F4A" w:rsidP="00814F4A">
            <w:pPr>
              <w:jc w:val="center"/>
              <w:rPr>
                <w:sz w:val="16"/>
                <w:szCs w:val="16"/>
              </w:rPr>
            </w:pPr>
            <w:r w:rsidRPr="00814F4A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814F4A" w:rsidRPr="00FE0B2D" w:rsidRDefault="00814F4A" w:rsidP="00814F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:rsidTr="009F716F">
        <w:tc>
          <w:tcPr>
            <w:tcW w:w="567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:rsidTr="009F716F">
        <w:tc>
          <w:tcPr>
            <w:tcW w:w="567" w:type="dxa"/>
            <w:vMerge/>
          </w:tcPr>
          <w:p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:rsidTr="009F716F">
        <w:tc>
          <w:tcPr>
            <w:tcW w:w="567" w:type="dxa"/>
            <w:vMerge/>
          </w:tcPr>
          <w:p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  <w:bookmarkStart w:id="0" w:name="_GoBack"/>
      <w:bookmarkEnd w:id="0"/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7D" w:rsidRDefault="00A4617D" w:rsidP="00CA72CC">
      <w:r>
        <w:separator/>
      </w:r>
    </w:p>
  </w:endnote>
  <w:endnote w:type="continuationSeparator" w:id="0">
    <w:p w:rsidR="00A4617D" w:rsidRDefault="00A4617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7D" w:rsidRDefault="00A4617D" w:rsidP="00CA72CC">
      <w:r>
        <w:separator/>
      </w:r>
    </w:p>
  </w:footnote>
  <w:footnote w:type="continuationSeparator" w:id="0">
    <w:p w:rsidR="00A4617D" w:rsidRDefault="00A4617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843670" w:rsidRDefault="008436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45">
          <w:rPr>
            <w:noProof/>
          </w:rPr>
          <w:t>2</w:t>
        </w:r>
        <w:r>
          <w:fldChar w:fldCharType="end"/>
        </w:r>
      </w:p>
    </w:sdtContent>
  </w:sdt>
  <w:p w:rsidR="00843670" w:rsidRDefault="00843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ACB"/>
    <w:rsid w:val="00131A16"/>
    <w:rsid w:val="00136BE5"/>
    <w:rsid w:val="001401E0"/>
    <w:rsid w:val="00143647"/>
    <w:rsid w:val="0014502D"/>
    <w:rsid w:val="001509B0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2D6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10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7BB"/>
    <w:rsid w:val="00547E9B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616E"/>
    <w:rsid w:val="005D7BED"/>
    <w:rsid w:val="005E0666"/>
    <w:rsid w:val="005E0ED5"/>
    <w:rsid w:val="005E352F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16EA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15ED5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C57"/>
    <w:rsid w:val="007F6125"/>
    <w:rsid w:val="008050D3"/>
    <w:rsid w:val="00805AB6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FDB"/>
    <w:rsid w:val="0083470D"/>
    <w:rsid w:val="00835BBF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4C5F"/>
    <w:rsid w:val="008E62AB"/>
    <w:rsid w:val="008F1E57"/>
    <w:rsid w:val="008F3889"/>
    <w:rsid w:val="008F4E49"/>
    <w:rsid w:val="008F5724"/>
    <w:rsid w:val="008F5745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A98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BA9"/>
    <w:rsid w:val="00A07C9A"/>
    <w:rsid w:val="00A100AB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17D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652B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66C30"/>
    <w:rsid w:val="00F72A50"/>
    <w:rsid w:val="00F7326F"/>
    <w:rsid w:val="00F742C1"/>
    <w:rsid w:val="00F74631"/>
    <w:rsid w:val="00F80984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5D33-367D-4B17-8B12-D37D2F54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78</Pages>
  <Words>19881</Words>
  <Characters>113326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83</cp:revision>
  <cp:lastPrinted>2022-01-27T13:03:00Z</cp:lastPrinted>
  <dcterms:created xsi:type="dcterms:W3CDTF">2022-01-18T08:09:00Z</dcterms:created>
  <dcterms:modified xsi:type="dcterms:W3CDTF">2022-05-30T08:30:00Z</dcterms:modified>
</cp:coreProperties>
</file>