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D83" w:rsidRPr="00D35B3B" w:rsidRDefault="00886D83" w:rsidP="009F216C">
      <w:pPr>
        <w:ind w:right="-567"/>
        <w:jc w:val="center"/>
      </w:pPr>
      <w:r w:rsidRPr="00D35B3B">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86D83" w:rsidRPr="00D35B3B" w:rsidRDefault="00886D83" w:rsidP="00886D83">
      <w:pPr>
        <w:ind w:left="-1560" w:right="-567" w:firstLine="1701"/>
        <w:jc w:val="center"/>
        <w:rPr>
          <w:b/>
        </w:rPr>
      </w:pPr>
    </w:p>
    <w:p w:rsidR="00886D83" w:rsidRPr="00D35B3B" w:rsidRDefault="009F216C" w:rsidP="009F216C">
      <w:pPr>
        <w:ind w:right="-567"/>
        <w:contextualSpacing/>
        <w:jc w:val="center"/>
        <w:rPr>
          <w:b/>
          <w:sz w:val="28"/>
        </w:rPr>
      </w:pPr>
      <w:r w:rsidRPr="00D35B3B">
        <w:rPr>
          <w:b/>
          <w:sz w:val="28"/>
        </w:rPr>
        <w:t>АДМИНИСТРАЦИЯ ГОРОДСКОГО</w:t>
      </w:r>
      <w:r w:rsidR="00886D83" w:rsidRPr="00D35B3B">
        <w:rPr>
          <w:b/>
          <w:sz w:val="28"/>
        </w:rPr>
        <w:t xml:space="preserve"> ОКРУГА ЭЛЕКТРОСТАЛЬ</w:t>
      </w:r>
    </w:p>
    <w:p w:rsidR="00886D83" w:rsidRPr="00D35B3B" w:rsidRDefault="00886D83" w:rsidP="009F216C">
      <w:pPr>
        <w:ind w:right="-567"/>
        <w:contextualSpacing/>
        <w:jc w:val="center"/>
        <w:rPr>
          <w:b/>
          <w:sz w:val="12"/>
          <w:szCs w:val="12"/>
        </w:rPr>
      </w:pPr>
    </w:p>
    <w:p w:rsidR="00886D83" w:rsidRPr="00D35B3B" w:rsidRDefault="00886D83" w:rsidP="009F216C">
      <w:pPr>
        <w:ind w:right="-567"/>
        <w:contextualSpacing/>
        <w:jc w:val="center"/>
        <w:rPr>
          <w:b/>
          <w:sz w:val="28"/>
        </w:rPr>
      </w:pPr>
      <w:r w:rsidRPr="00D35B3B">
        <w:rPr>
          <w:b/>
          <w:sz w:val="28"/>
        </w:rPr>
        <w:t>МОСКОВСКОЙ   ОБЛАСТИ</w:t>
      </w:r>
    </w:p>
    <w:p w:rsidR="00886D83" w:rsidRPr="00D35B3B" w:rsidRDefault="00886D83" w:rsidP="009F216C">
      <w:pPr>
        <w:ind w:right="-567" w:firstLine="1701"/>
        <w:contextualSpacing/>
        <w:jc w:val="center"/>
        <w:rPr>
          <w:sz w:val="16"/>
          <w:szCs w:val="16"/>
        </w:rPr>
      </w:pPr>
    </w:p>
    <w:p w:rsidR="00886D83" w:rsidRPr="00D35B3B" w:rsidRDefault="00886D83" w:rsidP="009F216C">
      <w:pPr>
        <w:ind w:right="-567"/>
        <w:contextualSpacing/>
        <w:jc w:val="center"/>
        <w:rPr>
          <w:b/>
          <w:sz w:val="44"/>
        </w:rPr>
      </w:pPr>
      <w:r w:rsidRPr="00D35B3B">
        <w:rPr>
          <w:b/>
          <w:sz w:val="44"/>
        </w:rPr>
        <w:t>ПОСТАНОВЛЕНИЕ</w:t>
      </w:r>
    </w:p>
    <w:p w:rsidR="00886D83" w:rsidRPr="00D35B3B" w:rsidRDefault="00886D83" w:rsidP="009F216C">
      <w:pPr>
        <w:suppressLineNumbers/>
        <w:ind w:right="-567"/>
        <w:jc w:val="center"/>
        <w:rPr>
          <w:b/>
        </w:rPr>
      </w:pPr>
    </w:p>
    <w:p w:rsidR="0089196B" w:rsidRPr="009E2030" w:rsidRDefault="009E2030" w:rsidP="00886D83">
      <w:pPr>
        <w:ind w:left="-1560" w:right="-567"/>
        <w:jc w:val="center"/>
        <w:outlineLvl w:val="0"/>
      </w:pPr>
      <w:r>
        <w:t>______</w:t>
      </w:r>
      <w:r w:rsidR="007823EF">
        <w:t>__________</w:t>
      </w:r>
      <w:r>
        <w:t>______№ _____</w:t>
      </w:r>
      <w:r w:rsidR="007823EF">
        <w:rPr>
          <w:u w:val="single"/>
        </w:rPr>
        <w:t>_____</w:t>
      </w:r>
      <w:r>
        <w:t>_____</w:t>
      </w:r>
    </w:p>
    <w:p w:rsidR="00886D83" w:rsidRDefault="00886D83" w:rsidP="00886D83">
      <w:pPr>
        <w:ind w:left="-1560" w:right="-567"/>
        <w:jc w:val="center"/>
        <w:outlineLvl w:val="0"/>
      </w:pPr>
    </w:p>
    <w:p w:rsidR="000A16D8" w:rsidRDefault="000A16D8" w:rsidP="0089196B">
      <w:pPr>
        <w:spacing w:line="240" w:lineRule="exact"/>
        <w:jc w:val="center"/>
        <w:outlineLvl w:val="0"/>
      </w:pPr>
      <w:bookmarkStart w:id="0" w:name="_GoBack"/>
      <w:r>
        <w:t>О внесении изменений в постановление Администрации городского округа Электросталь Московской обл</w:t>
      </w:r>
      <w:r w:rsidR="002D0D49">
        <w:t xml:space="preserve">асти от </w:t>
      </w:r>
      <w:r w:rsidR="007823EF">
        <w:t>27.07.2015 №</w:t>
      </w:r>
      <w:r w:rsidR="00866363">
        <w:t xml:space="preserve"> </w:t>
      </w:r>
      <w:r w:rsidR="007823EF">
        <w:t>581/8</w:t>
      </w:r>
      <w:bookmarkEnd w:id="0"/>
    </w:p>
    <w:p w:rsidR="000A16D8" w:rsidRDefault="000A16D8" w:rsidP="000534B6">
      <w:pPr>
        <w:jc w:val="both"/>
      </w:pPr>
    </w:p>
    <w:p w:rsidR="000534B6" w:rsidRPr="00CF701A" w:rsidRDefault="000A16D8" w:rsidP="007823EF">
      <w:pPr>
        <w:autoSpaceDE w:val="0"/>
        <w:autoSpaceDN w:val="0"/>
        <w:adjustRightInd w:val="0"/>
        <w:ind w:firstLine="709"/>
        <w:jc w:val="both"/>
      </w:pPr>
      <w:r>
        <w:t>В соответствии с Феде</w:t>
      </w:r>
      <w:r w:rsidR="00EF6F26">
        <w:t>ральным законом от 06.10.2003</w:t>
      </w:r>
      <w:r>
        <w:t xml:space="preserve"> №131-ФЗ «Об общих принципах организации местного самоупр</w:t>
      </w:r>
      <w:r w:rsidR="00EF6F26">
        <w:t>авления в Российской Федерации»</w:t>
      </w:r>
      <w:r w:rsidR="000534B6">
        <w:t xml:space="preserve">, </w:t>
      </w:r>
      <w:r w:rsidR="007823EF" w:rsidRPr="004A04EB">
        <w:t>распоряжением Министерства потребительского рынка и услуг Московской области от 27.12.2012 № 32-Р «Об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w:t>
      </w:r>
      <w:r w:rsidR="007823EF" w:rsidRPr="009E19CB">
        <w:t xml:space="preserve"> </w:t>
      </w:r>
      <w:r w:rsidR="007823EF" w:rsidRPr="004A04EB">
        <w:t xml:space="preserve">распоряжением Министерства потребительского рынка и услуг Московской области от </w:t>
      </w:r>
      <w:r w:rsidR="007823EF">
        <w:t>02</w:t>
      </w:r>
      <w:r w:rsidR="007823EF" w:rsidRPr="004A04EB">
        <w:t>.</w:t>
      </w:r>
      <w:r w:rsidR="007823EF">
        <w:t>06</w:t>
      </w:r>
      <w:r w:rsidR="007823EF" w:rsidRPr="004A04EB">
        <w:t>.201</w:t>
      </w:r>
      <w:r w:rsidR="007823EF">
        <w:t>4</w:t>
      </w:r>
      <w:r w:rsidR="007823EF" w:rsidRPr="004A04EB">
        <w:t xml:space="preserve"> № </w:t>
      </w:r>
      <w:r w:rsidR="007823EF">
        <w:t>16РВ</w:t>
      </w:r>
      <w:r w:rsidR="007823EF" w:rsidRPr="004A04EB">
        <w:t>-</w:t>
      </w:r>
      <w:r w:rsidR="007823EF">
        <w:t>34</w:t>
      </w:r>
      <w:r w:rsidR="007823EF" w:rsidRPr="004A04EB">
        <w:t xml:space="preserve"> «Об утверждении</w:t>
      </w:r>
      <w:r w:rsidR="007823EF">
        <w:t xml:space="preserve"> методических рекомендаций по размещению нестационарных торговых объектов на территории муниципальных образований Московской области»,</w:t>
      </w:r>
      <w:r w:rsidR="007823EF" w:rsidRPr="004A04EB">
        <w:t xml:space="preserve"> а также в целях упорядочения размещения </w:t>
      </w:r>
      <w:r w:rsidR="007823EF">
        <w:t xml:space="preserve">и приведения к единому стилю </w:t>
      </w:r>
      <w:r w:rsidR="007823EF" w:rsidRPr="004A04EB">
        <w:t xml:space="preserve">нестационарных торговых объектов на территории </w:t>
      </w:r>
      <w:r w:rsidR="007823EF">
        <w:t xml:space="preserve">городского округа Электросталь </w:t>
      </w:r>
      <w:r w:rsidR="007823EF" w:rsidRPr="004A04EB">
        <w:t>Московской области</w:t>
      </w:r>
      <w:r w:rsidR="00CA6667">
        <w:rPr>
          <w:rFonts w:cs="Times New Roman"/>
        </w:rPr>
        <w:t>,</w:t>
      </w:r>
      <w:r w:rsidR="000534B6" w:rsidRPr="00865CDD">
        <w:t xml:space="preserve"> Администрация городского округа Электросталь Московской области ПОСТАНОВЛЯЕТ</w:t>
      </w:r>
      <w:r w:rsidR="000534B6" w:rsidRPr="00CF701A">
        <w:t>:</w:t>
      </w:r>
    </w:p>
    <w:p w:rsidR="000534B6" w:rsidRPr="00D37791" w:rsidRDefault="000534B6" w:rsidP="00876CC6">
      <w:pPr>
        <w:autoSpaceDE w:val="0"/>
        <w:autoSpaceDN w:val="0"/>
        <w:adjustRightInd w:val="0"/>
        <w:jc w:val="both"/>
      </w:pPr>
      <w:r>
        <w:t xml:space="preserve">       1. </w:t>
      </w:r>
      <w:r w:rsidR="00A15FFC">
        <w:t xml:space="preserve">Внести </w:t>
      </w:r>
      <w:r w:rsidR="007823EF" w:rsidRPr="007823EF">
        <w:t>изменени</w:t>
      </w:r>
      <w:r w:rsidR="007823EF">
        <w:t>я</w:t>
      </w:r>
      <w:r w:rsidR="007823EF" w:rsidRPr="007823EF">
        <w:t xml:space="preserve"> в </w:t>
      </w:r>
      <w:r w:rsidR="007823EF">
        <w:t xml:space="preserve">приложения к </w:t>
      </w:r>
      <w:r w:rsidR="007823EF" w:rsidRPr="007823EF">
        <w:t>постановлени</w:t>
      </w:r>
      <w:r w:rsidR="007823EF">
        <w:t>ю</w:t>
      </w:r>
      <w:r w:rsidR="007823EF" w:rsidRPr="007823EF">
        <w:t xml:space="preserve"> Администрации городского округа Электросталь Московской области от 27.07.2015 №581/8</w:t>
      </w:r>
      <w:r w:rsidR="007823EF">
        <w:t xml:space="preserve"> «</w:t>
      </w:r>
      <w:r w:rsidR="007823EF" w:rsidRPr="007823EF">
        <w:t>Об утверждении архитектурных требований и типовых архитектурных решений нестационарных торговых объектов</w:t>
      </w:r>
      <w:r w:rsidR="007823EF">
        <w:t xml:space="preserve">», изложив их в редакции согласно Приложению №1 и </w:t>
      </w:r>
      <w:r w:rsidR="00B8772B">
        <w:t>П</w:t>
      </w:r>
      <w:r w:rsidR="007823EF">
        <w:t>риложению №2 к настоящему постановлению</w:t>
      </w:r>
      <w:r w:rsidRPr="00D37791">
        <w:t>.</w:t>
      </w:r>
    </w:p>
    <w:p w:rsidR="00A15FFC" w:rsidRPr="00AF373B" w:rsidRDefault="002063C9" w:rsidP="00A15FFC">
      <w:pPr>
        <w:tabs>
          <w:tab w:val="left" w:pos="180"/>
          <w:tab w:val="left" w:pos="720"/>
        </w:tabs>
        <w:jc w:val="both"/>
      </w:pPr>
      <w:r>
        <w:t xml:space="preserve">      </w:t>
      </w:r>
      <w:r w:rsidR="00885C1A">
        <w:t>2</w:t>
      </w:r>
      <w:r w:rsidR="00A15FFC">
        <w:t xml:space="preserve">. </w:t>
      </w:r>
      <w:r w:rsidR="00A15FFC" w:rsidRPr="00364E07">
        <w:t>Опубликовать настоящее постановление в газете «Официальный вестник»</w:t>
      </w:r>
      <w:r w:rsidR="00A15FFC">
        <w:t xml:space="preserve"> и разместить на официальном сайте городского округа Электросталь Московской области </w:t>
      </w:r>
      <w:r w:rsidR="00E1350D" w:rsidRPr="002F3B24">
        <w:t>в информационно-телекоммуникационной сети «Интернет»</w:t>
      </w:r>
      <w:r w:rsidR="00E1350D">
        <w:t xml:space="preserve"> </w:t>
      </w:r>
      <w:r w:rsidR="00A15FFC">
        <w:t>по адресу</w:t>
      </w:r>
      <w:r w:rsidR="00A15FFC" w:rsidRPr="00AF373B">
        <w:t xml:space="preserve">: </w:t>
      </w:r>
      <w:r w:rsidR="00A15FFC" w:rsidRPr="00AF373B">
        <w:rPr>
          <w:rStyle w:val="a8"/>
          <w:color w:val="auto"/>
          <w:u w:val="none"/>
        </w:rPr>
        <w:t>www.electrostal.ru</w:t>
      </w:r>
      <w:r w:rsidR="00A15FFC" w:rsidRPr="00AF373B">
        <w:t>.</w:t>
      </w:r>
    </w:p>
    <w:p w:rsidR="00631004" w:rsidRDefault="00885C1A" w:rsidP="00631004">
      <w:pPr>
        <w:tabs>
          <w:tab w:val="left" w:pos="180"/>
          <w:tab w:val="left" w:pos="540"/>
        </w:tabs>
        <w:jc w:val="both"/>
      </w:pPr>
      <w:r>
        <w:t xml:space="preserve">     </w:t>
      </w:r>
      <w:r w:rsidR="00A15FFC">
        <w:t xml:space="preserve"> 3. </w:t>
      </w:r>
      <w:r w:rsidR="00A15FFC" w:rsidRPr="008D5194">
        <w:t xml:space="preserve">Источником финансирования публикации </w:t>
      </w:r>
      <w:r w:rsidR="00A15FFC">
        <w:t>настоящего</w:t>
      </w:r>
      <w:r w:rsidR="00A15FFC" w:rsidRPr="008D5194">
        <w:t xml:space="preserve"> постановлен</w:t>
      </w:r>
      <w:r w:rsidR="00A15FFC">
        <w:t xml:space="preserve">ия принять денежные средства, предусмотренные в бюджете </w:t>
      </w:r>
      <w:r w:rsidR="00A15FFC" w:rsidRPr="008D5194">
        <w:t>городского округа Электросталь Московской области</w:t>
      </w:r>
      <w:r w:rsidR="00A15FFC">
        <w:t xml:space="preserve"> по подразделу 0113 «Другие общегосударственные вопросы» раздела 0100.</w:t>
      </w:r>
      <w:r w:rsidR="00A15FFC" w:rsidRPr="008D5194">
        <w:t xml:space="preserve"> </w:t>
      </w:r>
      <w:r w:rsidR="00631004">
        <w:tab/>
      </w:r>
      <w:r w:rsidR="00631004">
        <w:tab/>
      </w:r>
    </w:p>
    <w:p w:rsidR="00631004" w:rsidRDefault="00631004" w:rsidP="00631004">
      <w:pPr>
        <w:tabs>
          <w:tab w:val="left" w:pos="180"/>
          <w:tab w:val="left" w:pos="540"/>
        </w:tabs>
        <w:jc w:val="both"/>
      </w:pPr>
      <w:r>
        <w:t xml:space="preserve">      4.   </w:t>
      </w:r>
      <w:r>
        <w:rPr>
          <w:color w:val="000000" w:themeColor="text1"/>
        </w:rPr>
        <w:t>Настоящее постановление вступает в силу после его официального опубликования.</w:t>
      </w:r>
    </w:p>
    <w:p w:rsidR="00631004" w:rsidRPr="001B01D9" w:rsidRDefault="00885C1A" w:rsidP="00173DA4">
      <w:pPr>
        <w:tabs>
          <w:tab w:val="left" w:pos="180"/>
          <w:tab w:val="left" w:pos="540"/>
        </w:tabs>
        <w:jc w:val="both"/>
      </w:pPr>
      <w:r>
        <w:t xml:space="preserve">      </w:t>
      </w:r>
    </w:p>
    <w:p w:rsidR="00C23E71" w:rsidRDefault="00C23E71" w:rsidP="009B3B3B">
      <w:pPr>
        <w:jc w:val="both"/>
      </w:pPr>
    </w:p>
    <w:p w:rsidR="00C23E71" w:rsidRDefault="00C23E71" w:rsidP="009B3B3B">
      <w:pPr>
        <w:jc w:val="both"/>
      </w:pPr>
    </w:p>
    <w:p w:rsidR="000534B6" w:rsidRDefault="00C23E71" w:rsidP="000534B6">
      <w:r>
        <w:t>Глава</w:t>
      </w:r>
      <w:r w:rsidR="00B50600">
        <w:t xml:space="preserve"> городского округа                                                        </w:t>
      </w:r>
      <w:r>
        <w:t xml:space="preserve">                                     </w:t>
      </w:r>
      <w:r w:rsidR="00AF373B">
        <w:t xml:space="preserve">            </w:t>
      </w:r>
      <w:r>
        <w:t xml:space="preserve">  В.Я. Пекарев</w:t>
      </w:r>
    </w:p>
    <w:p w:rsidR="00277A29" w:rsidRDefault="00277A29" w:rsidP="000534B6">
      <w:pPr>
        <w:jc w:val="both"/>
      </w:pPr>
    </w:p>
    <w:p w:rsidR="007D63F0" w:rsidRDefault="007D63F0" w:rsidP="00AF373B">
      <w:pPr>
        <w:jc w:val="both"/>
      </w:pPr>
    </w:p>
    <w:p w:rsidR="007D63F0" w:rsidRDefault="007D63F0">
      <w:r>
        <w:br w:type="page"/>
      </w:r>
    </w:p>
    <w:p w:rsidR="00AF373B" w:rsidRDefault="00AF373B"/>
    <w:p w:rsidR="009F216C" w:rsidRPr="00190A3B" w:rsidRDefault="009F216C" w:rsidP="009F216C">
      <w:pPr>
        <w:ind w:left="5580"/>
        <w:rPr>
          <w:rFonts w:cs="Times New Roman"/>
        </w:rPr>
      </w:pPr>
      <w:r w:rsidRPr="00190A3B">
        <w:rPr>
          <w:rFonts w:cs="Times New Roman"/>
        </w:rPr>
        <w:t xml:space="preserve">Приложение </w:t>
      </w:r>
      <w:r>
        <w:rPr>
          <w:rFonts w:cs="Times New Roman"/>
        </w:rPr>
        <w:t>№ 1</w:t>
      </w:r>
    </w:p>
    <w:p w:rsidR="009F216C" w:rsidRPr="00190A3B" w:rsidRDefault="009F216C" w:rsidP="009F216C">
      <w:pPr>
        <w:ind w:left="5580"/>
        <w:rPr>
          <w:rFonts w:cs="Times New Roman"/>
        </w:rPr>
      </w:pPr>
      <w:r w:rsidRPr="00190A3B">
        <w:rPr>
          <w:rFonts w:cs="Times New Roman"/>
        </w:rPr>
        <w:t>к постановлению Администрации городского округа Электросталь Московской области</w:t>
      </w:r>
    </w:p>
    <w:p w:rsidR="009F216C" w:rsidRPr="00190A3B" w:rsidRDefault="009F216C" w:rsidP="009F216C">
      <w:pPr>
        <w:ind w:left="5580"/>
        <w:rPr>
          <w:rFonts w:cs="Times New Roman"/>
        </w:rPr>
      </w:pPr>
      <w:r w:rsidRPr="00190A3B">
        <w:rPr>
          <w:rFonts w:cs="Times New Roman"/>
        </w:rPr>
        <w:t xml:space="preserve">от </w:t>
      </w:r>
      <w:r>
        <w:rPr>
          <w:rFonts w:cs="Times New Roman"/>
        </w:rPr>
        <w:t>__________</w:t>
      </w:r>
      <w:r w:rsidRPr="00190A3B">
        <w:rPr>
          <w:rFonts w:cs="Times New Roman"/>
        </w:rPr>
        <w:t xml:space="preserve">№ </w:t>
      </w:r>
      <w:r>
        <w:rPr>
          <w:rFonts w:cs="Times New Roman"/>
        </w:rPr>
        <w:t>_______</w:t>
      </w:r>
    </w:p>
    <w:p w:rsidR="00AF373B" w:rsidRDefault="00AF373B" w:rsidP="00AF373B">
      <w:pPr>
        <w:jc w:val="both"/>
        <w:rPr>
          <w:rFonts w:cs="Times New Roman"/>
        </w:rPr>
      </w:pPr>
    </w:p>
    <w:p w:rsidR="009F216C" w:rsidRPr="009F216C" w:rsidRDefault="009F216C" w:rsidP="009F216C">
      <w:pPr>
        <w:jc w:val="center"/>
        <w:rPr>
          <w:rFonts w:cs="Times New Roman"/>
        </w:rPr>
      </w:pPr>
      <w:r w:rsidRPr="009F216C">
        <w:rPr>
          <w:rFonts w:cs="Times New Roman"/>
        </w:rPr>
        <w:t>Архитектурные требования</w:t>
      </w:r>
    </w:p>
    <w:p w:rsidR="009F216C" w:rsidRPr="009F216C" w:rsidRDefault="009F216C" w:rsidP="009F216C">
      <w:pPr>
        <w:jc w:val="center"/>
        <w:rPr>
          <w:rFonts w:cs="Times New Roman"/>
        </w:rPr>
      </w:pPr>
      <w:r w:rsidRPr="009F216C">
        <w:rPr>
          <w:rFonts w:cs="Times New Roman"/>
        </w:rPr>
        <w:t>к нестационарным торговым объектам на территории</w:t>
      </w:r>
    </w:p>
    <w:p w:rsidR="009F216C" w:rsidRPr="009F216C" w:rsidRDefault="009F216C" w:rsidP="009F216C">
      <w:pPr>
        <w:jc w:val="center"/>
        <w:rPr>
          <w:rFonts w:cs="Times New Roman"/>
        </w:rPr>
      </w:pPr>
      <w:r w:rsidRPr="009F216C">
        <w:rPr>
          <w:rFonts w:cs="Times New Roman"/>
        </w:rPr>
        <w:t>городского округа Электросталь Московской области</w:t>
      </w:r>
    </w:p>
    <w:p w:rsidR="009F216C" w:rsidRPr="009F216C" w:rsidRDefault="009F216C" w:rsidP="009F216C">
      <w:pPr>
        <w:jc w:val="both"/>
        <w:rPr>
          <w:rFonts w:cs="Times New Roman"/>
        </w:rPr>
      </w:pPr>
    </w:p>
    <w:p w:rsidR="009F216C" w:rsidRPr="009F216C" w:rsidRDefault="009F216C" w:rsidP="009F216C">
      <w:pPr>
        <w:ind w:firstLine="709"/>
        <w:jc w:val="both"/>
        <w:rPr>
          <w:rFonts w:cs="Times New Roman"/>
        </w:rPr>
      </w:pPr>
      <w:r w:rsidRPr="009F216C">
        <w:rPr>
          <w:rFonts w:cs="Times New Roman"/>
        </w:rPr>
        <w:t>1. Общие положения</w:t>
      </w:r>
    </w:p>
    <w:p w:rsidR="009F216C" w:rsidRPr="009F216C" w:rsidRDefault="009F216C" w:rsidP="009F216C">
      <w:pPr>
        <w:ind w:firstLine="709"/>
        <w:jc w:val="both"/>
        <w:rPr>
          <w:rFonts w:cs="Times New Roman"/>
        </w:rPr>
      </w:pPr>
      <w:r w:rsidRPr="009F216C">
        <w:rPr>
          <w:rFonts w:cs="Times New Roman"/>
        </w:rPr>
        <w:t>Нестационарный торговый объект (далее – НТО)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инженерным сетям, в том числе передвижные сооружения.</w:t>
      </w:r>
    </w:p>
    <w:p w:rsidR="009F216C" w:rsidRPr="009F216C" w:rsidRDefault="009F216C" w:rsidP="009F216C">
      <w:pPr>
        <w:ind w:firstLine="709"/>
        <w:jc w:val="both"/>
        <w:rPr>
          <w:rFonts w:cs="Times New Roman"/>
        </w:rPr>
      </w:pPr>
      <w:r w:rsidRPr="009F216C">
        <w:rPr>
          <w:rFonts w:cs="Times New Roman"/>
        </w:rPr>
        <w:t>Нестационарные торговые объекты не являются недвижимым имуществом, права на них не подлежат регистрации в Едином государственном реестре прав на недвижимое имущество и сделок с ним. Размещение НТО на территории городского округа Электросталь (далее – территория города) осуществляется в местах, определенных Схемой размещения нестационарных торговых объектов, утвержденной постановлением Администрации городского округа Электросталь Московской области (далее – Администрация городского округа).</w:t>
      </w:r>
    </w:p>
    <w:p w:rsidR="009F216C" w:rsidRPr="009F216C" w:rsidRDefault="009F216C" w:rsidP="009F216C">
      <w:pPr>
        <w:ind w:firstLine="709"/>
        <w:jc w:val="both"/>
        <w:rPr>
          <w:rFonts w:cs="Times New Roman"/>
        </w:rPr>
      </w:pPr>
      <w:r w:rsidRPr="009F216C">
        <w:rPr>
          <w:rFonts w:cs="Times New Roman"/>
        </w:rPr>
        <w:t>Основные типы нестационарных торговых объектов для размещения на территории города:</w:t>
      </w:r>
    </w:p>
    <w:p w:rsidR="009F216C" w:rsidRPr="00B8772B" w:rsidRDefault="009F216C" w:rsidP="009F216C">
      <w:pPr>
        <w:ind w:firstLine="709"/>
        <w:jc w:val="both"/>
        <w:rPr>
          <w:rFonts w:cs="Times New Roman"/>
        </w:rPr>
      </w:pPr>
      <w:r w:rsidRPr="009F216C">
        <w:rPr>
          <w:rFonts w:cs="Times New Roman"/>
        </w:rPr>
        <w:t>павильон – оборудованное строение, имеющее торговый зал и помещения для хранения товарного запаса, рассчитанное на одно или несколько рабочих мест</w:t>
      </w:r>
      <w:r>
        <w:rPr>
          <w:rFonts w:cs="Times New Roman"/>
        </w:rPr>
        <w:t xml:space="preserve">, </w:t>
      </w:r>
      <w:r w:rsidRPr="009F216C">
        <w:rPr>
          <w:rFonts w:cs="Times New Roman"/>
        </w:rPr>
        <w:t xml:space="preserve">общей площадью </w:t>
      </w:r>
      <w:r w:rsidRPr="00B8772B">
        <w:rPr>
          <w:rFonts w:cs="Times New Roman"/>
        </w:rPr>
        <w:t xml:space="preserve">не более </w:t>
      </w:r>
      <w:r w:rsidR="00B8772B" w:rsidRPr="00B8772B">
        <w:rPr>
          <w:rFonts w:cs="Times New Roman"/>
        </w:rPr>
        <w:t>30</w:t>
      </w:r>
      <w:r w:rsidRPr="00B8772B">
        <w:rPr>
          <w:rFonts w:cs="Times New Roman"/>
        </w:rPr>
        <w:t xml:space="preserve"> </w:t>
      </w:r>
      <w:proofErr w:type="spellStart"/>
      <w:r w:rsidRPr="00B8772B">
        <w:rPr>
          <w:rFonts w:cs="Times New Roman"/>
        </w:rPr>
        <w:t>кв.м</w:t>
      </w:r>
      <w:proofErr w:type="spellEnd"/>
      <w:r w:rsidRPr="00B8772B">
        <w:rPr>
          <w:rFonts w:cs="Times New Roman"/>
        </w:rPr>
        <w:t>;</w:t>
      </w:r>
    </w:p>
    <w:p w:rsidR="009F216C" w:rsidRPr="00B8772B" w:rsidRDefault="009F216C" w:rsidP="009F216C">
      <w:pPr>
        <w:ind w:firstLine="709"/>
        <w:jc w:val="both"/>
        <w:rPr>
          <w:rFonts w:cs="Times New Roman"/>
        </w:rPr>
      </w:pPr>
      <w:r w:rsidRPr="009F216C">
        <w:rPr>
          <w:rFonts w:cs="Times New Roman"/>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r>
        <w:rPr>
          <w:rFonts w:cs="Times New Roman"/>
        </w:rPr>
        <w:t xml:space="preserve">, </w:t>
      </w:r>
      <w:r w:rsidRPr="009F216C">
        <w:rPr>
          <w:rFonts w:cs="Times New Roman"/>
        </w:rPr>
        <w:t xml:space="preserve">общей площадью </w:t>
      </w:r>
      <w:r w:rsidRPr="00B8772B">
        <w:rPr>
          <w:rFonts w:cs="Times New Roman"/>
        </w:rPr>
        <w:t xml:space="preserve">не более 12 </w:t>
      </w:r>
      <w:proofErr w:type="spellStart"/>
      <w:r w:rsidRPr="00B8772B">
        <w:rPr>
          <w:rFonts w:cs="Times New Roman"/>
        </w:rPr>
        <w:t>кв.м</w:t>
      </w:r>
      <w:proofErr w:type="spellEnd"/>
      <w:r w:rsidRPr="00B8772B">
        <w:rPr>
          <w:rFonts w:cs="Times New Roman"/>
        </w:rPr>
        <w:t>;</w:t>
      </w:r>
    </w:p>
    <w:p w:rsidR="009F216C" w:rsidRPr="009F216C" w:rsidRDefault="009F216C" w:rsidP="009F216C">
      <w:pPr>
        <w:ind w:firstLine="709"/>
        <w:jc w:val="both"/>
        <w:rPr>
          <w:rFonts w:cs="Times New Roman"/>
        </w:rPr>
      </w:pPr>
      <w:r w:rsidRPr="009F216C">
        <w:rPr>
          <w:rFonts w:cs="Times New Roman"/>
        </w:rPr>
        <w:t xml:space="preserve">торговая галерея – выполненный в едином архитектурном решении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9F216C">
        <w:rPr>
          <w:rFonts w:cs="Times New Roman"/>
        </w:rPr>
        <w:t>светопрозрачной</w:t>
      </w:r>
      <w:proofErr w:type="spellEnd"/>
      <w:r w:rsidRPr="009F216C">
        <w:rPr>
          <w:rFonts w:cs="Times New Roman"/>
        </w:rPr>
        <w:t xml:space="preserve"> кровлей, не несущей теплоизоляционную функцию;</w:t>
      </w:r>
    </w:p>
    <w:p w:rsidR="009F216C" w:rsidRPr="009F216C" w:rsidRDefault="009F216C" w:rsidP="009F216C">
      <w:pPr>
        <w:ind w:firstLine="709"/>
        <w:jc w:val="both"/>
        <w:rPr>
          <w:rFonts w:cs="Times New Roman"/>
        </w:rPr>
      </w:pPr>
      <w:r w:rsidRPr="009F216C">
        <w:rPr>
          <w:rFonts w:cs="Times New Roman"/>
        </w:rPr>
        <w:t>пункт быстрого питания, кафе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9F216C" w:rsidRPr="009F216C" w:rsidRDefault="009F216C" w:rsidP="009F216C">
      <w:pPr>
        <w:ind w:firstLine="709"/>
        <w:jc w:val="both"/>
        <w:rPr>
          <w:rFonts w:cs="Times New Roman"/>
        </w:rPr>
      </w:pPr>
      <w:r w:rsidRPr="009F216C">
        <w:rPr>
          <w:rFonts w:cs="Times New Roman"/>
        </w:rPr>
        <w:t>мобильный пункт быстрого питания – передвижное сооружение (</w:t>
      </w:r>
      <w:proofErr w:type="spellStart"/>
      <w:r w:rsidRPr="009F216C">
        <w:rPr>
          <w:rFonts w:cs="Times New Roman"/>
        </w:rPr>
        <w:t>автокафе</w:t>
      </w:r>
      <w:proofErr w:type="spellEnd"/>
      <w:r w:rsidRPr="009F216C">
        <w:rPr>
          <w:rFonts w:cs="Times New Roman"/>
        </w:rPr>
        <w:t>),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r>
        <w:rPr>
          <w:rFonts w:cs="Times New Roman"/>
        </w:rPr>
        <w:t xml:space="preserve">, </w:t>
      </w:r>
      <w:r w:rsidRPr="009F216C">
        <w:rPr>
          <w:rFonts w:cs="Times New Roman"/>
        </w:rPr>
        <w:t>общей площадью не более</w:t>
      </w:r>
      <w:r>
        <w:rPr>
          <w:rFonts w:cs="Times New Roman"/>
        </w:rPr>
        <w:t xml:space="preserve"> 12 </w:t>
      </w:r>
      <w:proofErr w:type="spellStart"/>
      <w:r>
        <w:rPr>
          <w:rFonts w:cs="Times New Roman"/>
        </w:rPr>
        <w:t>кв.м</w:t>
      </w:r>
      <w:proofErr w:type="spellEnd"/>
      <w:r w:rsidRPr="009F216C">
        <w:rPr>
          <w:rFonts w:cs="Times New Roman"/>
        </w:rPr>
        <w:t>;</w:t>
      </w:r>
    </w:p>
    <w:p w:rsidR="009F216C" w:rsidRPr="009F216C" w:rsidRDefault="009F216C" w:rsidP="009F216C">
      <w:pPr>
        <w:ind w:firstLine="709"/>
        <w:jc w:val="both"/>
        <w:rPr>
          <w:rFonts w:cs="Times New Roman"/>
        </w:rPr>
      </w:pPr>
      <w:r w:rsidRPr="009F216C">
        <w:rPr>
          <w:rFonts w:cs="Times New Roman"/>
        </w:rPr>
        <w:t>выносное холодильное оборудование – холодильник для хранения и реализации прохладительных напитков и мороженого</w:t>
      </w:r>
      <w:r>
        <w:rPr>
          <w:rFonts w:cs="Times New Roman"/>
        </w:rPr>
        <w:t xml:space="preserve">, </w:t>
      </w:r>
      <w:r w:rsidRPr="009F216C">
        <w:rPr>
          <w:rFonts w:cs="Times New Roman"/>
        </w:rPr>
        <w:t>общей площадью не более</w:t>
      </w:r>
      <w:r>
        <w:rPr>
          <w:rFonts w:cs="Times New Roman"/>
        </w:rPr>
        <w:t xml:space="preserve"> 2 </w:t>
      </w:r>
      <w:proofErr w:type="spellStart"/>
      <w:r>
        <w:rPr>
          <w:rFonts w:cs="Times New Roman"/>
        </w:rPr>
        <w:t>кв.м</w:t>
      </w:r>
      <w:proofErr w:type="spellEnd"/>
      <w:r w:rsidRPr="009F216C">
        <w:rPr>
          <w:rFonts w:cs="Times New Roman"/>
        </w:rPr>
        <w:t>;</w:t>
      </w:r>
    </w:p>
    <w:p w:rsidR="009F216C" w:rsidRPr="009F216C" w:rsidRDefault="009F216C" w:rsidP="009F216C">
      <w:pPr>
        <w:ind w:firstLine="709"/>
        <w:jc w:val="both"/>
        <w:rPr>
          <w:rFonts w:cs="Times New Roman"/>
        </w:rPr>
      </w:pPr>
      <w:r w:rsidRPr="009F216C">
        <w:rPr>
          <w:rFonts w:cs="Times New Roman"/>
        </w:rPr>
        <w:t>торговый автомат (</w:t>
      </w:r>
      <w:proofErr w:type="spellStart"/>
      <w:r w:rsidRPr="009F216C">
        <w:rPr>
          <w:rFonts w:cs="Times New Roman"/>
        </w:rPr>
        <w:t>вендинговый</w:t>
      </w:r>
      <w:proofErr w:type="spellEnd"/>
      <w:r w:rsidRPr="009F216C">
        <w:rPr>
          <w:rFonts w:cs="Times New Roman"/>
        </w:rPr>
        <w:t xml:space="preserve"> автомат) – временное техническое устройство, сооружение, или конструкция, осуществляющее продажу штучного товара, оплата и выдача которого осуществляется с помощью технических приспособлений, не требующих непосредственного участия продавца</w:t>
      </w:r>
      <w:r>
        <w:rPr>
          <w:rFonts w:cs="Times New Roman"/>
        </w:rPr>
        <w:t xml:space="preserve">, </w:t>
      </w:r>
      <w:r w:rsidRPr="009F216C">
        <w:rPr>
          <w:rFonts w:cs="Times New Roman"/>
        </w:rPr>
        <w:t>общей площадью не более</w:t>
      </w:r>
      <w:r>
        <w:rPr>
          <w:rFonts w:cs="Times New Roman"/>
        </w:rPr>
        <w:t xml:space="preserve"> 2 </w:t>
      </w:r>
      <w:proofErr w:type="spellStart"/>
      <w:r>
        <w:rPr>
          <w:rFonts w:cs="Times New Roman"/>
        </w:rPr>
        <w:t>кв.м</w:t>
      </w:r>
      <w:proofErr w:type="spellEnd"/>
      <w:r w:rsidRPr="009F216C">
        <w:rPr>
          <w:rFonts w:cs="Times New Roman"/>
        </w:rPr>
        <w:t>;</w:t>
      </w:r>
    </w:p>
    <w:p w:rsidR="009F216C" w:rsidRPr="009F216C" w:rsidRDefault="009F216C" w:rsidP="009F216C">
      <w:pPr>
        <w:ind w:firstLine="709"/>
        <w:jc w:val="both"/>
        <w:rPr>
          <w:rFonts w:cs="Times New Roman"/>
        </w:rPr>
      </w:pPr>
      <w:r w:rsidRPr="009F216C">
        <w:rPr>
          <w:rFonts w:cs="Times New Roman"/>
        </w:rPr>
        <w:t>бахчевой развал – специально оборудованная временная конструкция, для хранения бахчевых культур, установленная в непосредственной близости к нестационарному торговому объекту (павильону, киоску), через который осуществляется реализация бахчевых культур</w:t>
      </w:r>
      <w:r>
        <w:rPr>
          <w:rFonts w:cs="Times New Roman"/>
        </w:rPr>
        <w:t xml:space="preserve">, </w:t>
      </w:r>
      <w:r w:rsidRPr="009F216C">
        <w:rPr>
          <w:rFonts w:cs="Times New Roman"/>
        </w:rPr>
        <w:t>общей площадью не более</w:t>
      </w:r>
      <w:r>
        <w:rPr>
          <w:rFonts w:cs="Times New Roman"/>
        </w:rPr>
        <w:t xml:space="preserve"> 16 </w:t>
      </w:r>
      <w:proofErr w:type="spellStart"/>
      <w:r>
        <w:rPr>
          <w:rFonts w:cs="Times New Roman"/>
        </w:rPr>
        <w:t>кв.м</w:t>
      </w:r>
      <w:proofErr w:type="spellEnd"/>
      <w:r w:rsidRPr="009F216C">
        <w:rPr>
          <w:rFonts w:cs="Times New Roman"/>
        </w:rPr>
        <w:t>;</w:t>
      </w:r>
    </w:p>
    <w:p w:rsidR="009F216C" w:rsidRPr="009F216C" w:rsidRDefault="009F216C" w:rsidP="009F216C">
      <w:pPr>
        <w:ind w:firstLine="709"/>
        <w:jc w:val="both"/>
        <w:rPr>
          <w:rFonts w:cs="Times New Roman"/>
        </w:rPr>
      </w:pPr>
      <w:r w:rsidRPr="009F216C">
        <w:rPr>
          <w:rFonts w:cs="Times New Roman"/>
        </w:rPr>
        <w:t>передвижные сооружения – изотермические емкости и цистерны, прочие передвижные объекты</w:t>
      </w:r>
      <w:r>
        <w:rPr>
          <w:rFonts w:cs="Times New Roman"/>
        </w:rPr>
        <w:t xml:space="preserve">, </w:t>
      </w:r>
      <w:r w:rsidRPr="009F216C">
        <w:rPr>
          <w:rFonts w:cs="Times New Roman"/>
        </w:rPr>
        <w:t>общей площадью не более</w:t>
      </w:r>
      <w:r>
        <w:rPr>
          <w:rFonts w:cs="Times New Roman"/>
        </w:rPr>
        <w:t xml:space="preserve"> 4 </w:t>
      </w:r>
      <w:proofErr w:type="spellStart"/>
      <w:r>
        <w:rPr>
          <w:rFonts w:cs="Times New Roman"/>
        </w:rPr>
        <w:t>кв.м</w:t>
      </w:r>
      <w:proofErr w:type="spellEnd"/>
      <w:r w:rsidRPr="009F216C">
        <w:rPr>
          <w:rFonts w:cs="Times New Roman"/>
        </w:rPr>
        <w:t>;</w:t>
      </w:r>
    </w:p>
    <w:p w:rsidR="009F216C" w:rsidRPr="009F216C" w:rsidRDefault="009F216C" w:rsidP="009F216C">
      <w:pPr>
        <w:ind w:firstLine="709"/>
        <w:jc w:val="both"/>
        <w:rPr>
          <w:rFonts w:cs="Times New Roman"/>
        </w:rPr>
      </w:pPr>
      <w:r w:rsidRPr="009F216C">
        <w:rPr>
          <w:rFonts w:cs="Times New Roman"/>
        </w:rPr>
        <w:lastRenderedPageBreak/>
        <w:t>объект мобильной торговли – нестационарный торговый объект, представляющий специализированный автомагазин, автолавку или иное специально оборудованное для осуществления розничной торговли транспортное средство</w:t>
      </w:r>
      <w:r>
        <w:rPr>
          <w:rFonts w:cs="Times New Roman"/>
        </w:rPr>
        <w:t xml:space="preserve">, </w:t>
      </w:r>
      <w:r w:rsidRPr="009F216C">
        <w:rPr>
          <w:rFonts w:cs="Times New Roman"/>
        </w:rPr>
        <w:t>общей площадью не более</w:t>
      </w:r>
      <w:r>
        <w:rPr>
          <w:rFonts w:cs="Times New Roman"/>
        </w:rPr>
        <w:t xml:space="preserve"> 9 </w:t>
      </w:r>
      <w:proofErr w:type="spellStart"/>
      <w:r>
        <w:rPr>
          <w:rFonts w:cs="Times New Roman"/>
        </w:rPr>
        <w:t>кв.м</w:t>
      </w:r>
      <w:proofErr w:type="spellEnd"/>
      <w:r w:rsidRPr="009F216C">
        <w:rPr>
          <w:rFonts w:cs="Times New Roman"/>
        </w:rPr>
        <w:t>;</w:t>
      </w:r>
    </w:p>
    <w:p w:rsidR="009F216C" w:rsidRPr="009F216C" w:rsidRDefault="009F216C" w:rsidP="009F216C">
      <w:pPr>
        <w:ind w:firstLine="709"/>
        <w:jc w:val="both"/>
        <w:rPr>
          <w:rFonts w:cs="Times New Roman"/>
        </w:rPr>
      </w:pPr>
      <w:r w:rsidRPr="009F216C">
        <w:rPr>
          <w:rFonts w:cs="Times New Roman"/>
        </w:rPr>
        <w:t>специализированный нестационарный торговый объект для организации реализации продукции сельскохозяйственных товаропроизводителей (далее – специализированный нестационарный торговый объект) – выполненный в едином архитектурном решении нестационарный торговый объект, состоящий из соединенных между собой нестационарных торговых объектов, находящихся под общим управлением, общей площадью не более 150 кв. м, в которых не менее восьмидесяти процентов торговых мест от их общего количества предназначено для осуществления продажи товаров сельскохозяйственными товаропроизводителями, в том числе осуществляющими деятельность на территории города.</w:t>
      </w:r>
    </w:p>
    <w:p w:rsidR="009F216C" w:rsidRPr="009F216C" w:rsidRDefault="009F216C" w:rsidP="009F216C">
      <w:pPr>
        <w:ind w:firstLine="709"/>
        <w:jc w:val="both"/>
        <w:rPr>
          <w:rFonts w:cs="Times New Roman"/>
        </w:rPr>
      </w:pPr>
    </w:p>
    <w:p w:rsidR="009F216C" w:rsidRPr="009F216C" w:rsidRDefault="009F216C" w:rsidP="009F216C">
      <w:pPr>
        <w:ind w:firstLine="709"/>
        <w:jc w:val="both"/>
        <w:rPr>
          <w:rFonts w:cs="Times New Roman"/>
        </w:rPr>
      </w:pPr>
      <w:r w:rsidRPr="009F216C">
        <w:rPr>
          <w:rFonts w:cs="Times New Roman"/>
        </w:rPr>
        <w:t>2. Основные требования</w:t>
      </w:r>
    </w:p>
    <w:p w:rsidR="009F216C" w:rsidRPr="009F216C" w:rsidRDefault="009F216C" w:rsidP="009F216C">
      <w:pPr>
        <w:ind w:firstLine="709"/>
        <w:jc w:val="both"/>
        <w:rPr>
          <w:rFonts w:cs="Times New Roman"/>
        </w:rPr>
      </w:pPr>
      <w:r w:rsidRPr="009F216C">
        <w:rPr>
          <w:rFonts w:cs="Times New Roman"/>
        </w:rPr>
        <w:t>Сооружение (размещение) павильонов, киосков и других НТО осуществляется в соответствии с проектом объекта, согласованным с Администрацией городского округа.</w:t>
      </w:r>
    </w:p>
    <w:p w:rsidR="009F216C" w:rsidRPr="009F216C" w:rsidRDefault="009F216C" w:rsidP="009F216C">
      <w:pPr>
        <w:ind w:firstLine="709"/>
        <w:jc w:val="both"/>
        <w:rPr>
          <w:rFonts w:cs="Times New Roman"/>
        </w:rPr>
      </w:pPr>
      <w:r w:rsidRPr="009F216C">
        <w:rPr>
          <w:rFonts w:cs="Times New Roman"/>
        </w:rPr>
        <w:t>Проект НТО должен содержать:</w:t>
      </w:r>
    </w:p>
    <w:p w:rsidR="009F216C" w:rsidRPr="009F216C" w:rsidRDefault="009F216C" w:rsidP="009F216C">
      <w:pPr>
        <w:ind w:firstLine="709"/>
        <w:jc w:val="both"/>
        <w:rPr>
          <w:rFonts w:cs="Times New Roman"/>
        </w:rPr>
      </w:pPr>
      <w:r w:rsidRPr="009F216C">
        <w:rPr>
          <w:rFonts w:cs="Times New Roman"/>
        </w:rPr>
        <w:t>- ситуационный план в масштабе 1:5000 с указанием места размещения земельного участка на карте города;</w:t>
      </w:r>
    </w:p>
    <w:p w:rsidR="009F216C" w:rsidRPr="009F216C" w:rsidRDefault="009F216C" w:rsidP="009F216C">
      <w:pPr>
        <w:ind w:firstLine="709"/>
        <w:jc w:val="both"/>
        <w:rPr>
          <w:rFonts w:cs="Times New Roman"/>
        </w:rPr>
      </w:pPr>
      <w:r w:rsidRPr="009F216C">
        <w:rPr>
          <w:rFonts w:cs="Times New Roman"/>
        </w:rPr>
        <w:t>- схему планировочной организации, выполненную на топографической съемке земельного участка, с указанием привязки объекта, с нанесенными инженерными сетями и подземными инженерными коммуникациями, и существующими объектами (сроком изготовления не более 1 года);</w:t>
      </w:r>
    </w:p>
    <w:p w:rsidR="009F216C" w:rsidRPr="009F216C" w:rsidRDefault="009F216C" w:rsidP="009F216C">
      <w:pPr>
        <w:ind w:firstLine="709"/>
        <w:jc w:val="both"/>
        <w:rPr>
          <w:rFonts w:cs="Times New Roman"/>
        </w:rPr>
      </w:pPr>
      <w:r w:rsidRPr="009F216C">
        <w:rPr>
          <w:rFonts w:cs="Times New Roman"/>
        </w:rPr>
        <w:t>- фасады (в масштабе 1: 50, 1:100);</w:t>
      </w:r>
    </w:p>
    <w:p w:rsidR="009F216C" w:rsidRPr="009F216C" w:rsidRDefault="009F216C" w:rsidP="009F216C">
      <w:pPr>
        <w:ind w:firstLine="709"/>
        <w:jc w:val="both"/>
        <w:rPr>
          <w:rFonts w:cs="Times New Roman"/>
        </w:rPr>
      </w:pPr>
      <w:r w:rsidRPr="009F216C">
        <w:rPr>
          <w:rFonts w:cs="Times New Roman"/>
        </w:rPr>
        <w:t>- план объекта в масштабе 1: 50, 1:100 с указанием габаритных размеров;</w:t>
      </w:r>
    </w:p>
    <w:p w:rsidR="009F216C" w:rsidRPr="009F216C" w:rsidRDefault="009F216C" w:rsidP="009F216C">
      <w:pPr>
        <w:ind w:firstLine="709"/>
        <w:jc w:val="both"/>
        <w:rPr>
          <w:rFonts w:cs="Times New Roman"/>
        </w:rPr>
      </w:pPr>
      <w:r w:rsidRPr="009F216C">
        <w:rPr>
          <w:rFonts w:cs="Times New Roman"/>
        </w:rPr>
        <w:t>- план благоустройства прилегающей территории;</w:t>
      </w:r>
    </w:p>
    <w:p w:rsidR="009F216C" w:rsidRPr="009F216C" w:rsidRDefault="009F216C" w:rsidP="009F216C">
      <w:pPr>
        <w:ind w:firstLine="709"/>
        <w:jc w:val="both"/>
        <w:rPr>
          <w:rFonts w:cs="Times New Roman"/>
        </w:rPr>
      </w:pPr>
      <w:r w:rsidRPr="009F216C">
        <w:rPr>
          <w:rFonts w:cs="Times New Roman"/>
        </w:rPr>
        <w:t>- 3Д изображение внешнего вида или фотомонтаж.</w:t>
      </w:r>
    </w:p>
    <w:p w:rsidR="009F216C" w:rsidRPr="009F216C" w:rsidRDefault="009F216C" w:rsidP="009F216C">
      <w:pPr>
        <w:ind w:firstLine="709"/>
        <w:jc w:val="both"/>
        <w:rPr>
          <w:rFonts w:cs="Times New Roman"/>
        </w:rPr>
      </w:pPr>
      <w:r w:rsidRPr="009F216C">
        <w:rPr>
          <w:rFonts w:cs="Times New Roman"/>
        </w:rPr>
        <w:t>Проектом НТО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rsidR="009F216C" w:rsidRPr="009F216C" w:rsidRDefault="009F216C" w:rsidP="009F216C">
      <w:pPr>
        <w:ind w:firstLine="709"/>
        <w:jc w:val="both"/>
        <w:rPr>
          <w:rFonts w:cs="Times New Roman"/>
        </w:rPr>
      </w:pPr>
      <w:r w:rsidRPr="009F216C">
        <w:rPr>
          <w:rFonts w:cs="Times New Roman"/>
        </w:rPr>
        <w:t>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9F216C" w:rsidRPr="009F216C" w:rsidRDefault="009F216C" w:rsidP="009F216C">
      <w:pPr>
        <w:ind w:firstLine="709"/>
        <w:jc w:val="both"/>
        <w:rPr>
          <w:rFonts w:cs="Times New Roman"/>
        </w:rPr>
      </w:pPr>
      <w:r w:rsidRPr="009F216C">
        <w:rPr>
          <w:rFonts w:cs="Times New Roman"/>
        </w:rPr>
        <w:t>Благоустройство и озеленение территории земельных участков должно осуществляться с учетом требований правил благоустройства, действующих на территории городского округа Электросталь Московской области.</w:t>
      </w:r>
    </w:p>
    <w:p w:rsidR="00B8772B" w:rsidRDefault="00B8772B" w:rsidP="009F216C">
      <w:pPr>
        <w:ind w:firstLine="709"/>
        <w:jc w:val="both"/>
        <w:rPr>
          <w:rFonts w:cs="Times New Roman"/>
        </w:rPr>
      </w:pPr>
      <w:r>
        <w:rPr>
          <w:rFonts w:cs="Times New Roman"/>
        </w:rPr>
        <w:t xml:space="preserve">Устанавливаемый НТО должен соответствовать типовым архитектурным решениям (Приложение №2). </w:t>
      </w:r>
    </w:p>
    <w:p w:rsidR="009F216C" w:rsidRPr="009F216C" w:rsidRDefault="009F216C" w:rsidP="009F216C">
      <w:pPr>
        <w:ind w:firstLine="709"/>
        <w:jc w:val="both"/>
        <w:rPr>
          <w:rFonts w:cs="Times New Roman"/>
        </w:rPr>
      </w:pPr>
      <w:r w:rsidRPr="009F216C">
        <w:rPr>
          <w:rFonts w:cs="Times New Roman"/>
        </w:rPr>
        <w:t>Наружное размещение защитных решеток на лицевых фасадах и установка их в витринах (за исключением внутренних раздвижных устройств) не допускаются.</w:t>
      </w:r>
    </w:p>
    <w:p w:rsidR="009F216C" w:rsidRPr="009F216C" w:rsidRDefault="009F216C" w:rsidP="009F216C">
      <w:pPr>
        <w:ind w:firstLine="709"/>
        <w:jc w:val="both"/>
        <w:rPr>
          <w:rFonts w:cs="Times New Roman"/>
        </w:rPr>
      </w:pPr>
      <w:r w:rsidRPr="009F216C">
        <w:rPr>
          <w:rFonts w:cs="Times New Roman"/>
        </w:rPr>
        <w:t>Размещение наружных блоков систем кондиционирования и вентиляции допускается в верхней части в плоскости остекления с применением маскирующих устройств (решеток, жалюзи)</w:t>
      </w:r>
      <w:r w:rsidR="00B8772B">
        <w:rPr>
          <w:rFonts w:cs="Times New Roman"/>
        </w:rPr>
        <w:t xml:space="preserve"> с тыльной стороны НТО</w:t>
      </w:r>
      <w:r w:rsidRPr="009F216C">
        <w:rPr>
          <w:rFonts w:cs="Times New Roman"/>
        </w:rPr>
        <w:t>.</w:t>
      </w:r>
    </w:p>
    <w:p w:rsidR="009F216C" w:rsidRPr="009F216C" w:rsidRDefault="009F216C" w:rsidP="009F216C">
      <w:pPr>
        <w:ind w:firstLine="709"/>
        <w:jc w:val="both"/>
        <w:rPr>
          <w:rFonts w:cs="Times New Roman"/>
        </w:rPr>
      </w:pPr>
      <w:r w:rsidRPr="009F216C">
        <w:rPr>
          <w:rFonts w:cs="Times New Roman"/>
        </w:rPr>
        <w:t>При установке павильонов и киосков вблизи остановочного комплекса не должны сужаться пешеходные зоны улицы.</w:t>
      </w:r>
    </w:p>
    <w:p w:rsidR="009F216C" w:rsidRPr="009F216C" w:rsidRDefault="009F216C" w:rsidP="009F216C">
      <w:pPr>
        <w:ind w:firstLine="709"/>
        <w:jc w:val="both"/>
        <w:rPr>
          <w:rFonts w:cs="Times New Roman"/>
        </w:rPr>
      </w:pPr>
      <w:r w:rsidRPr="009F216C">
        <w:rPr>
          <w:rFonts w:cs="Times New Roman"/>
        </w:rPr>
        <w:t>На объектах, расположенных в застройке с круговым радиусом осмотра, а именно не размещенных при стенах у домов, у заборов или состоящих в составе остановочного комплекса, архитектурно-художественное решение фасадов определяется максимально равнозначно по всем сторонам.</w:t>
      </w:r>
    </w:p>
    <w:p w:rsidR="009F216C" w:rsidRPr="009F216C" w:rsidRDefault="009F216C" w:rsidP="009F216C">
      <w:pPr>
        <w:ind w:firstLine="709"/>
        <w:jc w:val="both"/>
        <w:rPr>
          <w:rFonts w:cs="Times New Roman"/>
        </w:rPr>
      </w:pPr>
      <w:r w:rsidRPr="009F216C">
        <w:rPr>
          <w:rFonts w:cs="Times New Roman"/>
        </w:rPr>
        <w:t>Не допускается установка глухих металлических дверных полотен на лицевых фасадах объекта.</w:t>
      </w:r>
    </w:p>
    <w:p w:rsidR="009F216C" w:rsidRPr="009F216C" w:rsidRDefault="009F216C" w:rsidP="009F216C">
      <w:pPr>
        <w:ind w:firstLine="709"/>
        <w:jc w:val="both"/>
        <w:rPr>
          <w:rFonts w:cs="Times New Roman"/>
        </w:rPr>
      </w:pPr>
      <w:r w:rsidRPr="009F216C">
        <w:rPr>
          <w:rFonts w:cs="Times New Roman"/>
        </w:rPr>
        <w:lastRenderedPageBreak/>
        <w:t>Не допускается выставлять у нестационарных объектов потребительского рынка столики, зонтики, торговое оборудование и другие подобные объекты (если это не предусмотрено проектом).</w:t>
      </w:r>
    </w:p>
    <w:p w:rsidR="009F216C" w:rsidRPr="009F216C" w:rsidRDefault="009F216C" w:rsidP="009F216C">
      <w:pPr>
        <w:ind w:firstLine="709"/>
        <w:jc w:val="both"/>
        <w:rPr>
          <w:rFonts w:cs="Times New Roman"/>
        </w:rPr>
      </w:pPr>
      <w:r w:rsidRPr="009F216C">
        <w:rPr>
          <w:rFonts w:cs="Times New Roman"/>
        </w:rPr>
        <w:t>Внешний вид НТО должен соответствовать проектной документации. Запрещаются изготовление и установка объектов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p>
    <w:p w:rsidR="009F216C" w:rsidRPr="009F216C" w:rsidRDefault="009F216C" w:rsidP="009F216C">
      <w:pPr>
        <w:ind w:firstLine="709"/>
        <w:jc w:val="both"/>
        <w:rPr>
          <w:rFonts w:cs="Times New Roman"/>
        </w:rPr>
      </w:pPr>
      <w:r w:rsidRPr="009F216C">
        <w:rPr>
          <w:rFonts w:cs="Times New Roman"/>
        </w:rPr>
        <w:t>В случае установки двух и более нестационарных объектов потребительского рынка,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9F216C" w:rsidRPr="009F216C" w:rsidRDefault="009F216C" w:rsidP="009F216C">
      <w:pPr>
        <w:ind w:firstLine="709"/>
        <w:jc w:val="both"/>
        <w:rPr>
          <w:rFonts w:cs="Times New Roman"/>
        </w:rPr>
      </w:pPr>
      <w:r w:rsidRPr="009F216C">
        <w:rPr>
          <w:rFonts w:cs="Times New Roman"/>
        </w:rPr>
        <w:t>Запрещается самовольное изменение функционального назначения нестационарного торгового объекта.</w:t>
      </w:r>
    </w:p>
    <w:p w:rsidR="009F216C" w:rsidRPr="009F216C" w:rsidRDefault="009F216C" w:rsidP="009F216C">
      <w:pPr>
        <w:ind w:firstLine="709"/>
        <w:jc w:val="both"/>
        <w:rPr>
          <w:rFonts w:cs="Times New Roman"/>
        </w:rPr>
      </w:pPr>
    </w:p>
    <w:p w:rsidR="00B67BFD" w:rsidRDefault="00B67BFD" w:rsidP="009F216C">
      <w:pPr>
        <w:ind w:firstLine="709"/>
        <w:jc w:val="both"/>
        <w:rPr>
          <w:rFonts w:cs="Times New Roman"/>
        </w:rPr>
      </w:pPr>
    </w:p>
    <w:p w:rsidR="00B67BFD" w:rsidRDefault="00B67BFD">
      <w:pPr>
        <w:rPr>
          <w:rFonts w:cs="Times New Roman"/>
        </w:rPr>
      </w:pPr>
      <w:r>
        <w:rPr>
          <w:rFonts w:cs="Times New Roman"/>
        </w:rPr>
        <w:br w:type="page"/>
      </w:r>
    </w:p>
    <w:p w:rsidR="00B67BFD" w:rsidRPr="00190A3B" w:rsidRDefault="00B67BFD" w:rsidP="00B67BFD">
      <w:pPr>
        <w:ind w:left="5580"/>
        <w:rPr>
          <w:rFonts w:cs="Times New Roman"/>
        </w:rPr>
      </w:pPr>
      <w:r w:rsidRPr="00190A3B">
        <w:rPr>
          <w:rFonts w:cs="Times New Roman"/>
        </w:rPr>
        <w:t xml:space="preserve">Приложение </w:t>
      </w:r>
      <w:r>
        <w:rPr>
          <w:rFonts w:cs="Times New Roman"/>
        </w:rPr>
        <w:t>№ 2</w:t>
      </w:r>
    </w:p>
    <w:p w:rsidR="00B67BFD" w:rsidRPr="00190A3B" w:rsidRDefault="00B67BFD" w:rsidP="00B67BFD">
      <w:pPr>
        <w:ind w:left="5580"/>
        <w:rPr>
          <w:rFonts w:cs="Times New Roman"/>
        </w:rPr>
      </w:pPr>
      <w:r w:rsidRPr="00190A3B">
        <w:rPr>
          <w:rFonts w:cs="Times New Roman"/>
        </w:rPr>
        <w:t>к постановлению Администрации городского округа Электросталь Московской области</w:t>
      </w:r>
    </w:p>
    <w:p w:rsidR="00B67BFD" w:rsidRPr="00190A3B" w:rsidRDefault="00B67BFD" w:rsidP="00B67BFD">
      <w:pPr>
        <w:ind w:left="5580"/>
        <w:rPr>
          <w:rFonts w:cs="Times New Roman"/>
        </w:rPr>
      </w:pPr>
      <w:r w:rsidRPr="00190A3B">
        <w:rPr>
          <w:rFonts w:cs="Times New Roman"/>
        </w:rPr>
        <w:t xml:space="preserve">от </w:t>
      </w:r>
      <w:r>
        <w:rPr>
          <w:rFonts w:cs="Times New Roman"/>
        </w:rPr>
        <w:t>__________</w:t>
      </w:r>
      <w:r w:rsidRPr="00190A3B">
        <w:rPr>
          <w:rFonts w:cs="Times New Roman"/>
        </w:rPr>
        <w:t xml:space="preserve">№ </w:t>
      </w:r>
      <w:r>
        <w:rPr>
          <w:rFonts w:cs="Times New Roman"/>
        </w:rPr>
        <w:t>_______</w:t>
      </w:r>
    </w:p>
    <w:p w:rsidR="00B67BFD" w:rsidRDefault="00B67BFD" w:rsidP="00B67BFD">
      <w:pPr>
        <w:jc w:val="both"/>
        <w:rPr>
          <w:rFonts w:cs="Times New Roman"/>
        </w:rPr>
      </w:pPr>
    </w:p>
    <w:p w:rsidR="00B67BFD" w:rsidRDefault="00B67BFD" w:rsidP="00B67BFD">
      <w:pPr>
        <w:jc w:val="center"/>
        <w:rPr>
          <w:bCs/>
        </w:rPr>
      </w:pPr>
    </w:p>
    <w:p w:rsidR="00B67BFD" w:rsidRPr="00312B31" w:rsidRDefault="00B67BFD" w:rsidP="00B67BFD">
      <w:pPr>
        <w:jc w:val="center"/>
        <w:rPr>
          <w:bCs/>
        </w:rPr>
      </w:pPr>
      <w:r w:rsidRPr="00312B31">
        <w:rPr>
          <w:bCs/>
        </w:rPr>
        <w:t>Типовые архитектурные решения</w:t>
      </w:r>
    </w:p>
    <w:p w:rsidR="00B67BFD" w:rsidRPr="00312B31" w:rsidRDefault="00B67BFD" w:rsidP="00B67BFD">
      <w:pPr>
        <w:jc w:val="center"/>
        <w:rPr>
          <w:bCs/>
        </w:rPr>
      </w:pPr>
      <w:r w:rsidRPr="00312B31">
        <w:rPr>
          <w:bCs/>
        </w:rPr>
        <w:t>нестационарных торговых объектов для размещения на территории</w:t>
      </w:r>
    </w:p>
    <w:p w:rsidR="00B67BFD" w:rsidRPr="00312B31" w:rsidRDefault="00B67BFD" w:rsidP="00B67BFD">
      <w:pPr>
        <w:jc w:val="center"/>
        <w:rPr>
          <w:bCs/>
        </w:rPr>
      </w:pPr>
      <w:r w:rsidRPr="00312B31">
        <w:t>городского округа Электросталь Московской области</w:t>
      </w:r>
    </w:p>
    <w:p w:rsidR="009F216C" w:rsidRDefault="009F216C" w:rsidP="009F216C">
      <w:pPr>
        <w:ind w:firstLine="709"/>
        <w:jc w:val="both"/>
        <w:rPr>
          <w:rFonts w:cs="Times New Roman"/>
        </w:rPr>
      </w:pPr>
    </w:p>
    <w:sectPr w:rsidR="009F216C" w:rsidSect="00AF373B">
      <w:headerReference w:type="even" r:id="rId9"/>
      <w:headerReference w:type="default" r:id="rId10"/>
      <w:footerReference w:type="even" r:id="rId11"/>
      <w:headerReference w:type="first" r:id="rId12"/>
      <w:pgSz w:w="11906" w:h="16838"/>
      <w:pgMar w:top="1134" w:right="567" w:bottom="1134"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D83" w:rsidRDefault="00886D83">
      <w:r>
        <w:separator/>
      </w:r>
    </w:p>
    <w:p w:rsidR="00886D83" w:rsidRDefault="00886D83"/>
  </w:endnote>
  <w:endnote w:type="continuationSeparator" w:id="0">
    <w:p w:rsidR="00886D83" w:rsidRDefault="00886D83">
      <w:r>
        <w:continuationSeparator/>
      </w:r>
    </w:p>
    <w:p w:rsidR="00886D83" w:rsidRDefault="00886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83" w:rsidRDefault="00886D83" w:rsidP="00311A8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6D83" w:rsidRDefault="00886D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D83" w:rsidRDefault="00886D83">
      <w:r>
        <w:separator/>
      </w:r>
    </w:p>
    <w:p w:rsidR="00886D83" w:rsidRDefault="00886D83"/>
  </w:footnote>
  <w:footnote w:type="continuationSeparator" w:id="0">
    <w:p w:rsidR="00886D83" w:rsidRDefault="00886D83">
      <w:r>
        <w:continuationSeparator/>
      </w:r>
    </w:p>
    <w:p w:rsidR="00886D83" w:rsidRDefault="00886D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83" w:rsidRDefault="00886D83" w:rsidP="00311A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6D83" w:rsidRDefault="00886D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56807"/>
      <w:docPartObj>
        <w:docPartGallery w:val="Page Numbers (Top of Page)"/>
        <w:docPartUnique/>
      </w:docPartObj>
    </w:sdtPr>
    <w:sdtEndPr/>
    <w:sdtContent>
      <w:p w:rsidR="00886D83" w:rsidRDefault="00BC7A29">
        <w:pPr>
          <w:pStyle w:val="a3"/>
          <w:jc w:val="center"/>
        </w:pPr>
        <w:r>
          <w:rPr>
            <w:noProof/>
          </w:rPr>
          <w:fldChar w:fldCharType="begin"/>
        </w:r>
        <w:r>
          <w:rPr>
            <w:noProof/>
          </w:rPr>
          <w:instrText xml:space="preserve"> PAGE   \* MERGEFORMAT </w:instrText>
        </w:r>
        <w:r>
          <w:rPr>
            <w:noProof/>
          </w:rPr>
          <w:fldChar w:fldCharType="separate"/>
        </w:r>
        <w:r w:rsidR="00866363">
          <w:rPr>
            <w:noProof/>
          </w:rPr>
          <w:t>2</w:t>
        </w:r>
        <w:r>
          <w:rPr>
            <w:noProof/>
          </w:rPr>
          <w:fldChar w:fldCharType="end"/>
        </w:r>
      </w:p>
    </w:sdtContent>
  </w:sdt>
  <w:p w:rsidR="00886D83" w:rsidRDefault="00886D8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56805"/>
      <w:docPartObj>
        <w:docPartGallery w:val="Page Numbers (Top of Page)"/>
        <w:docPartUnique/>
      </w:docPartObj>
    </w:sdtPr>
    <w:sdtEndPr/>
    <w:sdtContent>
      <w:p w:rsidR="00886D83" w:rsidRDefault="00B67BFD">
        <w:pPr>
          <w:pStyle w:val="a3"/>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2928620</wp:posOffset>
                  </wp:positionH>
                  <wp:positionV relativeFrom="paragraph">
                    <wp:posOffset>-78740</wp:posOffset>
                  </wp:positionV>
                  <wp:extent cx="342900" cy="333375"/>
                  <wp:effectExtent l="4445" t="6985" r="5080" b="25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flowChartConnector">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449A7" id="_x0000_t120" coordsize="21600,21600" o:spt="120" path="m10800,qx,10800,10800,21600,21600,10800,10800,xe">
                  <v:path gradientshapeok="t" o:connecttype="custom" o:connectlocs="10800,0;3163,3163;0,10800;3163,18437;10800,21600;18437,18437;21600,10800;18437,3163" textboxrect="3163,3163,18437,18437"/>
                </v:shapetype>
                <v:shape id="AutoShape 1" o:spid="_x0000_s1026" type="#_x0000_t120" style="position:absolute;margin-left:230.6pt;margin-top:-6.2pt;width:27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" stroked="f"/>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1674"/>
    <w:multiLevelType w:val="hybridMultilevel"/>
    <w:tmpl w:val="935CA2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113E4"/>
    <w:multiLevelType w:val="hybridMultilevel"/>
    <w:tmpl w:val="72A48F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A03A69"/>
    <w:multiLevelType w:val="hybridMultilevel"/>
    <w:tmpl w:val="23FAA22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17364FA"/>
    <w:multiLevelType w:val="hybridMultilevel"/>
    <w:tmpl w:val="0B2618AE"/>
    <w:lvl w:ilvl="0" w:tplc="43F6B742">
      <w:start w:val="3"/>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25612BAE"/>
    <w:multiLevelType w:val="hybridMultilevel"/>
    <w:tmpl w:val="F37C6B56"/>
    <w:lvl w:ilvl="0" w:tplc="3EF234C4">
      <w:start w:val="1"/>
      <w:numFmt w:val="decimal"/>
      <w:lvlText w:val="%1."/>
      <w:lvlJc w:val="left"/>
      <w:pPr>
        <w:tabs>
          <w:tab w:val="num" w:pos="720"/>
        </w:tabs>
        <w:ind w:left="720" w:hanging="360"/>
      </w:pPr>
    </w:lvl>
    <w:lvl w:ilvl="1" w:tplc="CE308330">
      <w:numFmt w:val="none"/>
      <w:lvlText w:val=""/>
      <w:lvlJc w:val="left"/>
      <w:pPr>
        <w:tabs>
          <w:tab w:val="num" w:pos="360"/>
        </w:tabs>
        <w:ind w:left="0" w:firstLine="0"/>
      </w:pPr>
    </w:lvl>
    <w:lvl w:ilvl="2" w:tplc="66A2CFD6">
      <w:numFmt w:val="none"/>
      <w:lvlText w:val=""/>
      <w:lvlJc w:val="left"/>
      <w:pPr>
        <w:tabs>
          <w:tab w:val="num" w:pos="360"/>
        </w:tabs>
        <w:ind w:left="0" w:firstLine="0"/>
      </w:pPr>
    </w:lvl>
    <w:lvl w:ilvl="3" w:tplc="C002BC20">
      <w:numFmt w:val="none"/>
      <w:lvlText w:val=""/>
      <w:lvlJc w:val="left"/>
      <w:pPr>
        <w:tabs>
          <w:tab w:val="num" w:pos="360"/>
        </w:tabs>
        <w:ind w:left="0" w:firstLine="0"/>
      </w:pPr>
    </w:lvl>
    <w:lvl w:ilvl="4" w:tplc="B8F28D48">
      <w:numFmt w:val="none"/>
      <w:lvlText w:val=""/>
      <w:lvlJc w:val="left"/>
      <w:pPr>
        <w:tabs>
          <w:tab w:val="num" w:pos="360"/>
        </w:tabs>
        <w:ind w:left="0" w:firstLine="0"/>
      </w:pPr>
    </w:lvl>
    <w:lvl w:ilvl="5" w:tplc="96D62460">
      <w:numFmt w:val="none"/>
      <w:lvlText w:val=""/>
      <w:lvlJc w:val="left"/>
      <w:pPr>
        <w:tabs>
          <w:tab w:val="num" w:pos="360"/>
        </w:tabs>
        <w:ind w:left="0" w:firstLine="0"/>
      </w:pPr>
    </w:lvl>
    <w:lvl w:ilvl="6" w:tplc="E79CFE78">
      <w:numFmt w:val="none"/>
      <w:lvlText w:val=""/>
      <w:lvlJc w:val="left"/>
      <w:pPr>
        <w:tabs>
          <w:tab w:val="num" w:pos="360"/>
        </w:tabs>
        <w:ind w:left="0" w:firstLine="0"/>
      </w:pPr>
    </w:lvl>
    <w:lvl w:ilvl="7" w:tplc="D4BCDC16">
      <w:numFmt w:val="none"/>
      <w:lvlText w:val=""/>
      <w:lvlJc w:val="left"/>
      <w:pPr>
        <w:tabs>
          <w:tab w:val="num" w:pos="360"/>
        </w:tabs>
        <w:ind w:left="0" w:firstLine="0"/>
      </w:pPr>
    </w:lvl>
    <w:lvl w:ilvl="8" w:tplc="E7DED748">
      <w:numFmt w:val="none"/>
      <w:lvlText w:val=""/>
      <w:lvlJc w:val="left"/>
      <w:pPr>
        <w:tabs>
          <w:tab w:val="num" w:pos="360"/>
        </w:tabs>
        <w:ind w:left="0" w:firstLine="0"/>
      </w:pPr>
    </w:lvl>
  </w:abstractNum>
  <w:abstractNum w:abstractNumId="5" w15:restartNumberingAfterBreak="0">
    <w:nsid w:val="268F6E5A"/>
    <w:multiLevelType w:val="hybridMultilevel"/>
    <w:tmpl w:val="9FD2B70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4C216BB"/>
    <w:multiLevelType w:val="hybridMultilevel"/>
    <w:tmpl w:val="72966BE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D3F20A7"/>
    <w:multiLevelType w:val="multilevel"/>
    <w:tmpl w:val="D9A423E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3479B8"/>
    <w:multiLevelType w:val="hybridMultilevel"/>
    <w:tmpl w:val="D00CE77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AC41323"/>
    <w:multiLevelType w:val="hybridMultilevel"/>
    <w:tmpl w:val="ACD88F80"/>
    <w:lvl w:ilvl="0" w:tplc="B2840D7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9"/>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4A"/>
    <w:rsid w:val="00010BB8"/>
    <w:rsid w:val="000131A5"/>
    <w:rsid w:val="00020133"/>
    <w:rsid w:val="00024AAB"/>
    <w:rsid w:val="00024B30"/>
    <w:rsid w:val="00034B92"/>
    <w:rsid w:val="00041B1C"/>
    <w:rsid w:val="000529D6"/>
    <w:rsid w:val="000534B6"/>
    <w:rsid w:val="000659E3"/>
    <w:rsid w:val="00067158"/>
    <w:rsid w:val="00074C71"/>
    <w:rsid w:val="000761A2"/>
    <w:rsid w:val="00090DB2"/>
    <w:rsid w:val="00093FB7"/>
    <w:rsid w:val="000A1553"/>
    <w:rsid w:val="000A16D8"/>
    <w:rsid w:val="000A6600"/>
    <w:rsid w:val="000C1384"/>
    <w:rsid w:val="000D00B8"/>
    <w:rsid w:val="000D1924"/>
    <w:rsid w:val="000D4E6D"/>
    <w:rsid w:val="000D6FB8"/>
    <w:rsid w:val="000E17A5"/>
    <w:rsid w:val="000E48E1"/>
    <w:rsid w:val="000F48F6"/>
    <w:rsid w:val="000F5822"/>
    <w:rsid w:val="000F5C91"/>
    <w:rsid w:val="001002C7"/>
    <w:rsid w:val="00140415"/>
    <w:rsid w:val="00140F59"/>
    <w:rsid w:val="001421FF"/>
    <w:rsid w:val="00146CF8"/>
    <w:rsid w:val="00151987"/>
    <w:rsid w:val="00164959"/>
    <w:rsid w:val="00165243"/>
    <w:rsid w:val="00172FAA"/>
    <w:rsid w:val="00173DA4"/>
    <w:rsid w:val="00173F93"/>
    <w:rsid w:val="00183140"/>
    <w:rsid w:val="0018342B"/>
    <w:rsid w:val="001913E3"/>
    <w:rsid w:val="00191F3E"/>
    <w:rsid w:val="001A528E"/>
    <w:rsid w:val="001D5020"/>
    <w:rsid w:val="001D5232"/>
    <w:rsid w:val="001D72D9"/>
    <w:rsid w:val="001E1699"/>
    <w:rsid w:val="001E3DB4"/>
    <w:rsid w:val="001E778B"/>
    <w:rsid w:val="001E7F8A"/>
    <w:rsid w:val="001F1619"/>
    <w:rsid w:val="001F7D5E"/>
    <w:rsid w:val="00202E6F"/>
    <w:rsid w:val="00203576"/>
    <w:rsid w:val="00203821"/>
    <w:rsid w:val="00203F9D"/>
    <w:rsid w:val="002058E9"/>
    <w:rsid w:val="002063C9"/>
    <w:rsid w:val="00211A02"/>
    <w:rsid w:val="00215305"/>
    <w:rsid w:val="00215FDC"/>
    <w:rsid w:val="0022688E"/>
    <w:rsid w:val="00230B91"/>
    <w:rsid w:val="0023542E"/>
    <w:rsid w:val="00236279"/>
    <w:rsid w:val="00244EF8"/>
    <w:rsid w:val="0024540F"/>
    <w:rsid w:val="002628F8"/>
    <w:rsid w:val="00277A29"/>
    <w:rsid w:val="0028585B"/>
    <w:rsid w:val="002A0824"/>
    <w:rsid w:val="002A612E"/>
    <w:rsid w:val="002B12A2"/>
    <w:rsid w:val="002B3FC2"/>
    <w:rsid w:val="002B71F4"/>
    <w:rsid w:val="002B7BA2"/>
    <w:rsid w:val="002C1A3A"/>
    <w:rsid w:val="002C7D50"/>
    <w:rsid w:val="002D0D49"/>
    <w:rsid w:val="002E1759"/>
    <w:rsid w:val="002E4336"/>
    <w:rsid w:val="002E74D7"/>
    <w:rsid w:val="003042A9"/>
    <w:rsid w:val="00311A8F"/>
    <w:rsid w:val="00312A3D"/>
    <w:rsid w:val="00322773"/>
    <w:rsid w:val="003229F4"/>
    <w:rsid w:val="0032358B"/>
    <w:rsid w:val="00331A5F"/>
    <w:rsid w:val="00331A64"/>
    <w:rsid w:val="00346504"/>
    <w:rsid w:val="003467BC"/>
    <w:rsid w:val="00354879"/>
    <w:rsid w:val="003643D4"/>
    <w:rsid w:val="00377404"/>
    <w:rsid w:val="003774CC"/>
    <w:rsid w:val="003774D5"/>
    <w:rsid w:val="003A0107"/>
    <w:rsid w:val="003A4612"/>
    <w:rsid w:val="003C12E3"/>
    <w:rsid w:val="003C1D4C"/>
    <w:rsid w:val="003E0E6D"/>
    <w:rsid w:val="003E36EA"/>
    <w:rsid w:val="003F6A35"/>
    <w:rsid w:val="0040152B"/>
    <w:rsid w:val="004460CC"/>
    <w:rsid w:val="00454AD3"/>
    <w:rsid w:val="00457B30"/>
    <w:rsid w:val="00462BC3"/>
    <w:rsid w:val="00474701"/>
    <w:rsid w:val="00475371"/>
    <w:rsid w:val="00476687"/>
    <w:rsid w:val="004847FA"/>
    <w:rsid w:val="00491C40"/>
    <w:rsid w:val="004B4789"/>
    <w:rsid w:val="004B5B03"/>
    <w:rsid w:val="004C2E5C"/>
    <w:rsid w:val="004C589D"/>
    <w:rsid w:val="004D33EB"/>
    <w:rsid w:val="004D4B5B"/>
    <w:rsid w:val="004E1200"/>
    <w:rsid w:val="004E56BE"/>
    <w:rsid w:val="005022F8"/>
    <w:rsid w:val="005064B1"/>
    <w:rsid w:val="00517545"/>
    <w:rsid w:val="005249E2"/>
    <w:rsid w:val="00531BCC"/>
    <w:rsid w:val="00532F07"/>
    <w:rsid w:val="00534F82"/>
    <w:rsid w:val="00541248"/>
    <w:rsid w:val="00550BF4"/>
    <w:rsid w:val="00551612"/>
    <w:rsid w:val="005556B9"/>
    <w:rsid w:val="0055640C"/>
    <w:rsid w:val="0056085E"/>
    <w:rsid w:val="00566856"/>
    <w:rsid w:val="0057170F"/>
    <w:rsid w:val="005737EF"/>
    <w:rsid w:val="00581B4D"/>
    <w:rsid w:val="00583807"/>
    <w:rsid w:val="005865BB"/>
    <w:rsid w:val="005903AC"/>
    <w:rsid w:val="00595D74"/>
    <w:rsid w:val="005A16CF"/>
    <w:rsid w:val="005A1C14"/>
    <w:rsid w:val="005A7D70"/>
    <w:rsid w:val="005B35F2"/>
    <w:rsid w:val="005B4DEF"/>
    <w:rsid w:val="005B5237"/>
    <w:rsid w:val="005C032E"/>
    <w:rsid w:val="005C26B3"/>
    <w:rsid w:val="005C5B4A"/>
    <w:rsid w:val="005D4739"/>
    <w:rsid w:val="005D66B4"/>
    <w:rsid w:val="005E7B70"/>
    <w:rsid w:val="005F1133"/>
    <w:rsid w:val="005F66D0"/>
    <w:rsid w:val="0060260A"/>
    <w:rsid w:val="0060693F"/>
    <w:rsid w:val="006229CC"/>
    <w:rsid w:val="00630D93"/>
    <w:rsid w:val="00631004"/>
    <w:rsid w:val="0063237D"/>
    <w:rsid w:val="0064250B"/>
    <w:rsid w:val="00646D6D"/>
    <w:rsid w:val="00663557"/>
    <w:rsid w:val="006653D5"/>
    <w:rsid w:val="006660DA"/>
    <w:rsid w:val="006707FD"/>
    <w:rsid w:val="006749A7"/>
    <w:rsid w:val="00674F3D"/>
    <w:rsid w:val="0067547F"/>
    <w:rsid w:val="00680149"/>
    <w:rsid w:val="00683AC1"/>
    <w:rsid w:val="0068495F"/>
    <w:rsid w:val="00690E21"/>
    <w:rsid w:val="00695B57"/>
    <w:rsid w:val="00696FCA"/>
    <w:rsid w:val="006A2C39"/>
    <w:rsid w:val="006B1D18"/>
    <w:rsid w:val="006C3CE7"/>
    <w:rsid w:val="006C7565"/>
    <w:rsid w:val="006D4DAF"/>
    <w:rsid w:val="006E626B"/>
    <w:rsid w:val="006F29F4"/>
    <w:rsid w:val="006F37D8"/>
    <w:rsid w:val="006F69B4"/>
    <w:rsid w:val="00700155"/>
    <w:rsid w:val="007055D6"/>
    <w:rsid w:val="00732556"/>
    <w:rsid w:val="0075098B"/>
    <w:rsid w:val="00750FC2"/>
    <w:rsid w:val="00766793"/>
    <w:rsid w:val="00766F40"/>
    <w:rsid w:val="007751FE"/>
    <w:rsid w:val="0077608C"/>
    <w:rsid w:val="007817F8"/>
    <w:rsid w:val="007823EF"/>
    <w:rsid w:val="00786657"/>
    <w:rsid w:val="00794520"/>
    <w:rsid w:val="00797100"/>
    <w:rsid w:val="007A7813"/>
    <w:rsid w:val="007B2252"/>
    <w:rsid w:val="007B3BB7"/>
    <w:rsid w:val="007B797B"/>
    <w:rsid w:val="007D63F0"/>
    <w:rsid w:val="007D7187"/>
    <w:rsid w:val="007E1486"/>
    <w:rsid w:val="007E387B"/>
    <w:rsid w:val="007F2DE1"/>
    <w:rsid w:val="00815661"/>
    <w:rsid w:val="008308B7"/>
    <w:rsid w:val="008331EA"/>
    <w:rsid w:val="008332F7"/>
    <w:rsid w:val="00836486"/>
    <w:rsid w:val="00840655"/>
    <w:rsid w:val="00841984"/>
    <w:rsid w:val="00842D7D"/>
    <w:rsid w:val="00845C83"/>
    <w:rsid w:val="00862E73"/>
    <w:rsid w:val="00866363"/>
    <w:rsid w:val="008744F3"/>
    <w:rsid w:val="00875598"/>
    <w:rsid w:val="00876CC6"/>
    <w:rsid w:val="00877577"/>
    <w:rsid w:val="00885C1A"/>
    <w:rsid w:val="00886D83"/>
    <w:rsid w:val="00891889"/>
    <w:rsid w:val="0089196B"/>
    <w:rsid w:val="0089676D"/>
    <w:rsid w:val="008971C2"/>
    <w:rsid w:val="00897C8E"/>
    <w:rsid w:val="008A047A"/>
    <w:rsid w:val="008B6AC4"/>
    <w:rsid w:val="008C1F6B"/>
    <w:rsid w:val="008C78A4"/>
    <w:rsid w:val="008D2953"/>
    <w:rsid w:val="008D41D9"/>
    <w:rsid w:val="008D4742"/>
    <w:rsid w:val="008D57F0"/>
    <w:rsid w:val="008E6B8F"/>
    <w:rsid w:val="0091358E"/>
    <w:rsid w:val="00913963"/>
    <w:rsid w:val="00913A51"/>
    <w:rsid w:val="00915AAB"/>
    <w:rsid w:val="009245C5"/>
    <w:rsid w:val="00937028"/>
    <w:rsid w:val="009526AC"/>
    <w:rsid w:val="00957D6C"/>
    <w:rsid w:val="00960598"/>
    <w:rsid w:val="00961781"/>
    <w:rsid w:val="00970868"/>
    <w:rsid w:val="00973949"/>
    <w:rsid w:val="009770F1"/>
    <w:rsid w:val="0098059D"/>
    <w:rsid w:val="00984549"/>
    <w:rsid w:val="009862E9"/>
    <w:rsid w:val="009926E3"/>
    <w:rsid w:val="00992F36"/>
    <w:rsid w:val="00996C41"/>
    <w:rsid w:val="009A27D2"/>
    <w:rsid w:val="009B3B3B"/>
    <w:rsid w:val="009B7326"/>
    <w:rsid w:val="009C08E1"/>
    <w:rsid w:val="009C385C"/>
    <w:rsid w:val="009D3FAA"/>
    <w:rsid w:val="009E2030"/>
    <w:rsid w:val="009E6987"/>
    <w:rsid w:val="009F216C"/>
    <w:rsid w:val="00A15FFC"/>
    <w:rsid w:val="00A329A4"/>
    <w:rsid w:val="00A36B6B"/>
    <w:rsid w:val="00A438A5"/>
    <w:rsid w:val="00A45BAD"/>
    <w:rsid w:val="00A5023C"/>
    <w:rsid w:val="00A5412E"/>
    <w:rsid w:val="00A6232A"/>
    <w:rsid w:val="00A8032C"/>
    <w:rsid w:val="00A8073F"/>
    <w:rsid w:val="00A854A8"/>
    <w:rsid w:val="00A8706C"/>
    <w:rsid w:val="00A9616C"/>
    <w:rsid w:val="00AB3716"/>
    <w:rsid w:val="00AB6620"/>
    <w:rsid w:val="00AC590F"/>
    <w:rsid w:val="00AD307B"/>
    <w:rsid w:val="00AD746A"/>
    <w:rsid w:val="00AE5C15"/>
    <w:rsid w:val="00AE7159"/>
    <w:rsid w:val="00AF373B"/>
    <w:rsid w:val="00B0035F"/>
    <w:rsid w:val="00B047B5"/>
    <w:rsid w:val="00B064D0"/>
    <w:rsid w:val="00B21195"/>
    <w:rsid w:val="00B2146E"/>
    <w:rsid w:val="00B243B6"/>
    <w:rsid w:val="00B24B1F"/>
    <w:rsid w:val="00B47754"/>
    <w:rsid w:val="00B503DA"/>
    <w:rsid w:val="00B50600"/>
    <w:rsid w:val="00B64475"/>
    <w:rsid w:val="00B67BFD"/>
    <w:rsid w:val="00B723B5"/>
    <w:rsid w:val="00B7370E"/>
    <w:rsid w:val="00B76CAD"/>
    <w:rsid w:val="00B77A93"/>
    <w:rsid w:val="00B86AA6"/>
    <w:rsid w:val="00B8772B"/>
    <w:rsid w:val="00B91B8F"/>
    <w:rsid w:val="00BA7B94"/>
    <w:rsid w:val="00BB33E0"/>
    <w:rsid w:val="00BC1F6E"/>
    <w:rsid w:val="00BC69D2"/>
    <w:rsid w:val="00BC7A29"/>
    <w:rsid w:val="00BD2411"/>
    <w:rsid w:val="00BD3700"/>
    <w:rsid w:val="00BF6FEF"/>
    <w:rsid w:val="00C06BD3"/>
    <w:rsid w:val="00C07513"/>
    <w:rsid w:val="00C13B05"/>
    <w:rsid w:val="00C23E71"/>
    <w:rsid w:val="00C30CFD"/>
    <w:rsid w:val="00C3207C"/>
    <w:rsid w:val="00C32B1F"/>
    <w:rsid w:val="00C3618F"/>
    <w:rsid w:val="00C41D6F"/>
    <w:rsid w:val="00C46A35"/>
    <w:rsid w:val="00C5534D"/>
    <w:rsid w:val="00C56EA0"/>
    <w:rsid w:val="00C57198"/>
    <w:rsid w:val="00C57389"/>
    <w:rsid w:val="00C77922"/>
    <w:rsid w:val="00C976A0"/>
    <w:rsid w:val="00CA6667"/>
    <w:rsid w:val="00CB041B"/>
    <w:rsid w:val="00CB0879"/>
    <w:rsid w:val="00CC108D"/>
    <w:rsid w:val="00CD09BF"/>
    <w:rsid w:val="00CD0FA7"/>
    <w:rsid w:val="00CE047D"/>
    <w:rsid w:val="00CE0CC1"/>
    <w:rsid w:val="00D04DB2"/>
    <w:rsid w:val="00D0587E"/>
    <w:rsid w:val="00D10C51"/>
    <w:rsid w:val="00D160B0"/>
    <w:rsid w:val="00D173C4"/>
    <w:rsid w:val="00D22CC0"/>
    <w:rsid w:val="00D238A9"/>
    <w:rsid w:val="00D238FF"/>
    <w:rsid w:val="00D24C09"/>
    <w:rsid w:val="00D27642"/>
    <w:rsid w:val="00D438BC"/>
    <w:rsid w:val="00D4791C"/>
    <w:rsid w:val="00D63AFC"/>
    <w:rsid w:val="00D64A2E"/>
    <w:rsid w:val="00D72265"/>
    <w:rsid w:val="00D80E23"/>
    <w:rsid w:val="00D84824"/>
    <w:rsid w:val="00DB0C98"/>
    <w:rsid w:val="00DB4DB5"/>
    <w:rsid w:val="00DC509E"/>
    <w:rsid w:val="00DC6742"/>
    <w:rsid w:val="00DC7CFD"/>
    <w:rsid w:val="00DE0F4F"/>
    <w:rsid w:val="00DE2EBC"/>
    <w:rsid w:val="00E12315"/>
    <w:rsid w:val="00E1350D"/>
    <w:rsid w:val="00E15740"/>
    <w:rsid w:val="00E3625A"/>
    <w:rsid w:val="00E50DF6"/>
    <w:rsid w:val="00E53727"/>
    <w:rsid w:val="00E55989"/>
    <w:rsid w:val="00E62ED3"/>
    <w:rsid w:val="00E75184"/>
    <w:rsid w:val="00E820E4"/>
    <w:rsid w:val="00E84C82"/>
    <w:rsid w:val="00EA7213"/>
    <w:rsid w:val="00EA7BF8"/>
    <w:rsid w:val="00EB0C99"/>
    <w:rsid w:val="00EB255C"/>
    <w:rsid w:val="00EC5701"/>
    <w:rsid w:val="00EE22D0"/>
    <w:rsid w:val="00EE269D"/>
    <w:rsid w:val="00EF6102"/>
    <w:rsid w:val="00EF6F26"/>
    <w:rsid w:val="00EF7C7B"/>
    <w:rsid w:val="00F00CE8"/>
    <w:rsid w:val="00F10FFA"/>
    <w:rsid w:val="00F23E89"/>
    <w:rsid w:val="00F3460D"/>
    <w:rsid w:val="00F42A1B"/>
    <w:rsid w:val="00F435FE"/>
    <w:rsid w:val="00F44BB7"/>
    <w:rsid w:val="00F450BF"/>
    <w:rsid w:val="00F57208"/>
    <w:rsid w:val="00F658B5"/>
    <w:rsid w:val="00F65A8D"/>
    <w:rsid w:val="00F804AF"/>
    <w:rsid w:val="00F81380"/>
    <w:rsid w:val="00F82256"/>
    <w:rsid w:val="00F82858"/>
    <w:rsid w:val="00F94431"/>
    <w:rsid w:val="00F964B7"/>
    <w:rsid w:val="00FA565D"/>
    <w:rsid w:val="00FB2EF9"/>
    <w:rsid w:val="00FC3DF0"/>
    <w:rsid w:val="00FC4A4A"/>
    <w:rsid w:val="00FC5556"/>
    <w:rsid w:val="00FC69AA"/>
    <w:rsid w:val="00FC7251"/>
    <w:rsid w:val="00FD7D27"/>
    <w:rsid w:val="00FF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B31E947-36C8-4E03-B8F9-9A1C4D8F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A4A"/>
    <w:rPr>
      <w:rFonts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4A4A"/>
    <w:pPr>
      <w:tabs>
        <w:tab w:val="center" w:pos="4677"/>
        <w:tab w:val="right" w:pos="9355"/>
      </w:tabs>
    </w:pPr>
    <w:rPr>
      <w:rFonts w:cs="Times New Roman"/>
    </w:rPr>
  </w:style>
  <w:style w:type="character" w:customStyle="1" w:styleId="a4">
    <w:name w:val="Верхний колонтитул Знак"/>
    <w:link w:val="a3"/>
    <w:uiPriority w:val="99"/>
    <w:rsid w:val="00FC4A4A"/>
    <w:rPr>
      <w:sz w:val="24"/>
      <w:szCs w:val="24"/>
      <w:lang w:bidi="ar-SA"/>
    </w:rPr>
  </w:style>
  <w:style w:type="character" w:styleId="a5">
    <w:name w:val="page number"/>
    <w:rsid w:val="00FC4A4A"/>
  </w:style>
  <w:style w:type="paragraph" w:styleId="a6">
    <w:name w:val="footer"/>
    <w:basedOn w:val="a"/>
    <w:link w:val="a7"/>
    <w:unhideWhenUsed/>
    <w:rsid w:val="00FC4A4A"/>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7">
    <w:name w:val="Нижний колонтитул Знак"/>
    <w:link w:val="a6"/>
    <w:rsid w:val="00FC4A4A"/>
    <w:rPr>
      <w:rFonts w:ascii="Calibri" w:eastAsia="Calibri" w:hAnsi="Calibri"/>
      <w:sz w:val="22"/>
      <w:szCs w:val="22"/>
      <w:lang w:eastAsia="en-US" w:bidi="ar-SA"/>
    </w:rPr>
  </w:style>
  <w:style w:type="character" w:styleId="a8">
    <w:name w:val="Hyperlink"/>
    <w:rsid w:val="00FC4A4A"/>
    <w:rPr>
      <w:color w:val="0000FF"/>
      <w:u w:val="single"/>
    </w:rPr>
  </w:style>
  <w:style w:type="paragraph" w:customStyle="1" w:styleId="a9">
    <w:name w:val="Стиль"/>
    <w:basedOn w:val="a"/>
    <w:rsid w:val="00FC4A4A"/>
    <w:pPr>
      <w:spacing w:after="160" w:line="240" w:lineRule="exact"/>
    </w:pPr>
    <w:rPr>
      <w:rFonts w:ascii="Verdana" w:hAnsi="Verdana" w:cs="Verdana"/>
      <w:sz w:val="20"/>
      <w:szCs w:val="20"/>
      <w:lang w:val="en-US" w:eastAsia="en-US"/>
    </w:rPr>
  </w:style>
  <w:style w:type="paragraph" w:styleId="aa">
    <w:name w:val="Normal (Web)"/>
    <w:basedOn w:val="a"/>
    <w:rsid w:val="009C385C"/>
    <w:pPr>
      <w:spacing w:before="100" w:beforeAutospacing="1" w:after="100" w:afterAutospacing="1"/>
    </w:pPr>
    <w:rPr>
      <w:rFonts w:cs="Times New Roman"/>
    </w:rPr>
  </w:style>
  <w:style w:type="paragraph" w:customStyle="1" w:styleId="ConsPlusCell">
    <w:name w:val="ConsPlusCell"/>
    <w:rsid w:val="009C385C"/>
    <w:pPr>
      <w:widowControl w:val="0"/>
      <w:autoSpaceDE w:val="0"/>
      <w:autoSpaceDN w:val="0"/>
      <w:adjustRightInd w:val="0"/>
    </w:pPr>
    <w:rPr>
      <w:sz w:val="24"/>
      <w:szCs w:val="24"/>
    </w:rPr>
  </w:style>
  <w:style w:type="paragraph" w:customStyle="1" w:styleId="Default">
    <w:name w:val="Default"/>
    <w:rsid w:val="009C385C"/>
    <w:pPr>
      <w:autoSpaceDE w:val="0"/>
      <w:autoSpaceDN w:val="0"/>
      <w:adjustRightInd w:val="0"/>
    </w:pPr>
    <w:rPr>
      <w:color w:val="000000"/>
      <w:sz w:val="24"/>
      <w:szCs w:val="24"/>
      <w:lang w:eastAsia="en-US"/>
    </w:rPr>
  </w:style>
  <w:style w:type="paragraph" w:customStyle="1" w:styleId="ConsPlusNonformat">
    <w:name w:val="ConsPlusNonformat"/>
    <w:rsid w:val="009C385C"/>
    <w:pPr>
      <w:widowControl w:val="0"/>
      <w:autoSpaceDE w:val="0"/>
      <w:autoSpaceDN w:val="0"/>
      <w:adjustRightInd w:val="0"/>
    </w:pPr>
    <w:rPr>
      <w:rFonts w:ascii="Courier New" w:hAnsi="Courier New" w:cs="Courier New"/>
    </w:rPr>
  </w:style>
  <w:style w:type="paragraph" w:customStyle="1" w:styleId="ConsPlusNormal">
    <w:name w:val="ConsPlusNormal"/>
    <w:rsid w:val="009C385C"/>
    <w:pPr>
      <w:widowControl w:val="0"/>
      <w:autoSpaceDE w:val="0"/>
      <w:autoSpaceDN w:val="0"/>
    </w:pPr>
    <w:rPr>
      <w:sz w:val="24"/>
    </w:rPr>
  </w:style>
  <w:style w:type="table" w:styleId="ab">
    <w:name w:val="Table Grid"/>
    <w:basedOn w:val="a1"/>
    <w:rsid w:val="009C3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9C385C"/>
    <w:rPr>
      <w:rFonts w:ascii="Tahoma" w:hAnsi="Tahoma" w:cs="Tahoma"/>
      <w:sz w:val="16"/>
      <w:szCs w:val="16"/>
    </w:rPr>
  </w:style>
  <w:style w:type="character" w:customStyle="1" w:styleId="ad">
    <w:name w:val="Текст выноски Знак"/>
    <w:link w:val="ac"/>
    <w:rsid w:val="009C385C"/>
    <w:rPr>
      <w:rFonts w:ascii="Tahoma" w:hAnsi="Tahoma" w:cs="Tahoma"/>
      <w:sz w:val="16"/>
      <w:szCs w:val="16"/>
    </w:rPr>
  </w:style>
  <w:style w:type="paragraph" w:styleId="ae">
    <w:name w:val="Document Map"/>
    <w:basedOn w:val="a"/>
    <w:semiHidden/>
    <w:rsid w:val="0068495F"/>
    <w:pPr>
      <w:shd w:val="clear" w:color="auto" w:fill="000080"/>
    </w:pPr>
    <w:rPr>
      <w:rFonts w:ascii="Tahoma" w:hAnsi="Tahoma" w:cs="Tahoma"/>
      <w:sz w:val="20"/>
      <w:szCs w:val="20"/>
    </w:rPr>
  </w:style>
  <w:style w:type="paragraph" w:styleId="af">
    <w:name w:val="List Paragraph"/>
    <w:basedOn w:val="a"/>
    <w:uiPriority w:val="34"/>
    <w:qFormat/>
    <w:rsid w:val="006E626B"/>
    <w:pPr>
      <w:ind w:left="720"/>
      <w:contextualSpacing/>
    </w:pPr>
  </w:style>
  <w:style w:type="paragraph" w:styleId="af0">
    <w:name w:val="No Spacing"/>
    <w:uiPriority w:val="1"/>
    <w:qFormat/>
    <w:rsid w:val="00172FA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087827">
      <w:bodyDiv w:val="1"/>
      <w:marLeft w:val="0"/>
      <w:marRight w:val="0"/>
      <w:marTop w:val="0"/>
      <w:marBottom w:val="0"/>
      <w:divBdr>
        <w:top w:val="none" w:sz="0" w:space="0" w:color="auto"/>
        <w:left w:val="none" w:sz="0" w:space="0" w:color="auto"/>
        <w:bottom w:val="none" w:sz="0" w:space="0" w:color="auto"/>
        <w:right w:val="none" w:sz="0" w:space="0" w:color="auto"/>
      </w:divBdr>
    </w:div>
    <w:div w:id="1617297579">
      <w:bodyDiv w:val="1"/>
      <w:marLeft w:val="0"/>
      <w:marRight w:val="0"/>
      <w:marTop w:val="0"/>
      <w:marBottom w:val="0"/>
      <w:divBdr>
        <w:top w:val="none" w:sz="0" w:space="0" w:color="auto"/>
        <w:left w:val="none" w:sz="0" w:space="0" w:color="auto"/>
        <w:bottom w:val="none" w:sz="0" w:space="0" w:color="auto"/>
        <w:right w:val="none" w:sz="0" w:space="0" w:color="auto"/>
      </w:divBdr>
    </w:div>
    <w:div w:id="19438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ADA19-DAFA-4BC7-9618-137F959A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1134</Words>
  <Characters>8853</Characters>
  <Application>Microsoft Office Word</Application>
  <DocSecurity>0</DocSecurity>
  <Lines>73</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го Электросталь</Company>
  <LinksUpToDate>false</LinksUpToDate>
  <CharactersWithSpaces>9968</CharactersWithSpaces>
  <SharedDoc>false</SharedDoc>
  <HLinks>
    <vt:vector size="12" baseType="variant">
      <vt:variant>
        <vt:i4>7667812</vt:i4>
      </vt:variant>
      <vt:variant>
        <vt:i4>3</vt:i4>
      </vt:variant>
      <vt:variant>
        <vt:i4>0</vt:i4>
      </vt:variant>
      <vt:variant>
        <vt:i4>5</vt:i4>
      </vt:variant>
      <vt:variant>
        <vt:lpwstr>http://www.electrostal.ru/</vt:lpwstr>
      </vt:variant>
      <vt:variant>
        <vt:lpwstr/>
      </vt:variant>
      <vt:variant>
        <vt:i4>3014755</vt:i4>
      </vt:variant>
      <vt:variant>
        <vt:i4>0</vt:i4>
      </vt:variant>
      <vt:variant>
        <vt:i4>0</vt:i4>
      </vt:variant>
      <vt:variant>
        <vt:i4>5</vt:i4>
      </vt:variant>
      <vt:variant>
        <vt:lpwstr>consultantplus://offline/ref=2AFBF6413A0B4E6C740F8272D3C8573BD8D128F5AB167C5FCDF158526C941C284F5B0672E6ECFEg9L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dc:creator>
  <cp:lastModifiedBy>Татьяна A. Побежимова</cp:lastModifiedBy>
  <cp:revision>4</cp:revision>
  <cp:lastPrinted>2019-08-06T14:17:00Z</cp:lastPrinted>
  <dcterms:created xsi:type="dcterms:W3CDTF">2019-08-30T12:53:00Z</dcterms:created>
  <dcterms:modified xsi:type="dcterms:W3CDTF">2019-09-02T13:07:00Z</dcterms:modified>
</cp:coreProperties>
</file>