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A70DCF" w:rsidRDefault="009215CA" w:rsidP="00B544EF">
      <w:pPr>
        <w:ind w:left="-993" w:right="-567"/>
        <w:jc w:val="center"/>
        <w:outlineLvl w:val="0"/>
      </w:pPr>
      <w:r>
        <w:t>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</w:t>
      </w:r>
    </w:p>
    <w:p w:rsidR="00DB24C1" w:rsidRDefault="00DB24C1" w:rsidP="00DB24C1">
      <w:pPr>
        <w:jc w:val="both"/>
      </w:pPr>
    </w:p>
    <w:p w:rsidR="00DB24C1" w:rsidRPr="00177924" w:rsidRDefault="00B57016" w:rsidP="00177924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177924">
        <w:t xml:space="preserve"> </w:t>
      </w:r>
      <w:r w:rsidR="00D42026" w:rsidRPr="00B57016">
        <w:t>городского округа Электросталь Московской области</w:t>
      </w:r>
      <w:r w:rsidR="00177924">
        <w:t xml:space="preserve"> </w:t>
      </w:r>
      <w:r w:rsidR="00DB24C1" w:rsidRPr="00B57016">
        <w:t>«Образование»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177924" w:rsidRDefault="00177924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</w:p>
    <w:p w:rsidR="002775C1" w:rsidRDefault="002775C1" w:rsidP="00A516C5">
      <w:pPr>
        <w:spacing w:line="240" w:lineRule="exact"/>
        <w:jc w:val="both"/>
      </w:pPr>
      <w:bookmarkStart w:id="0" w:name="_GoBack"/>
      <w:bookmarkEnd w:id="0"/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proofErr w:type="gramStart"/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 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>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414D72" w:rsidRPr="00414D72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4 127 317,88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796 532,03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780 767,19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10 025 628,49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405 040,43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14 557 986,80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2 829 992,63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3 102 738,19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2 876 171,69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lastRenderedPageBreak/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lastRenderedPageBreak/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</w:t>
      </w:r>
      <w:r w:rsidRPr="00C97E02">
        <w:rPr>
          <w:rFonts w:eastAsiaTheme="minorHAnsi" w:cs="Times New Roman"/>
          <w:lang w:eastAsia="en-US"/>
        </w:rPr>
        <w:lastRenderedPageBreak/>
        <w:t>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площадки Московской </w:t>
      </w:r>
      <w:r w:rsidR="000B23EA" w:rsidRPr="000B23EA">
        <w:rPr>
          <w:rFonts w:eastAsiaTheme="minorHAnsi" w:cs="Times New Roman"/>
          <w:lang w:eastAsia="en-US"/>
        </w:rPr>
        <w:lastRenderedPageBreak/>
        <w:t>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0F1A2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0B2366" w:rsidRDefault="000F1A2D" w:rsidP="000F1A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4 568 160,79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757 141,92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852 022,20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0F1A2D" w:rsidRPr="002618A2" w:rsidRDefault="000F1A2D" w:rsidP="000F1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1 189 455,08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105 521,20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3 378 705,71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310E1D" w:rsidRDefault="00061B12" w:rsidP="00061B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4 448 265,86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755 141,92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061B12" w:rsidRPr="00662420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1 166 129,86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310E1D" w:rsidRDefault="000F1A2D" w:rsidP="000F1A2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109 905,93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64 107,70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0F1A2D" w:rsidRPr="008443B5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23 325,22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12 684,70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4355" w:rsidRPr="00FA0AB1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4355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A" w:rsidRPr="00FE0B2D" w:rsidTr="00AF688C">
        <w:tc>
          <w:tcPr>
            <w:tcW w:w="567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F216A" w:rsidRPr="001D37F6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4 449 950,86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755 485,92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216A" w:rsidRPr="00FE0B2D" w:rsidTr="00AF688C">
        <w:tc>
          <w:tcPr>
            <w:tcW w:w="567" w:type="dxa"/>
            <w:vMerge/>
          </w:tcPr>
          <w:p w:rsidR="00CF216A" w:rsidRPr="00FE0B2D" w:rsidRDefault="00CF216A" w:rsidP="00CF21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1 164 115,86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270 391,92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2D24" w:rsidRPr="00FE0B2D" w:rsidTr="00AF688C">
        <w:tc>
          <w:tcPr>
            <w:tcW w:w="567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42D24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942D24" w:rsidRPr="00CD1C96" w:rsidRDefault="00942D24" w:rsidP="00942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42D24" w:rsidRPr="00FE0B2D" w:rsidTr="00AF688C">
        <w:tc>
          <w:tcPr>
            <w:tcW w:w="567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 w:val="restart"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4 568 160,79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757 141,92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831 851,30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852 022,20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1 189 455,08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270 810,92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102 063,30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105 521,20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3 378 705,71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0B2366" w:rsidRDefault="00742A36" w:rsidP="00742A3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9 025 889,68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1 917 613,41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1 851 512,49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742A36" w:rsidRPr="002618A2" w:rsidRDefault="00742A36" w:rsidP="0074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1 984 366,47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502 608,99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6 636 482,78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310E1D" w:rsidRDefault="001B5327" w:rsidP="001B53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8 644 207,12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1 911 068,41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1B5327" w:rsidRPr="004C5177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1 937 754,91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6 301 411,78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9D6440" w:rsidRDefault="00742A36" w:rsidP="00742A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349 011,56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742A36" w:rsidRPr="004C5177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46 611,56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76A77" w:rsidRPr="00FE0B2D" w:rsidTr="00D813D5">
        <w:tc>
          <w:tcPr>
            <w:tcW w:w="567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7 691 699,89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1 718 966,22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1 515 606,89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323 246,22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D76A77" w:rsidRPr="000C3112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0C3112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CE8" w:rsidRPr="00FE0B2D" w:rsidTr="00D813D5">
        <w:tc>
          <w:tcPr>
            <w:tcW w:w="567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2A3CE8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A3CE8" w:rsidRPr="00FE0B2D" w:rsidTr="00D813D5">
        <w:tc>
          <w:tcPr>
            <w:tcW w:w="567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sz w:val="16"/>
                <w:szCs w:val="16"/>
              </w:rPr>
            </w:pPr>
            <w:r w:rsidRPr="002A3CE8">
              <w:rPr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5A6" w:rsidRPr="00FE0B2D" w:rsidTr="00D813D5">
        <w:tc>
          <w:tcPr>
            <w:tcW w:w="567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F45A6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F45A6" w:rsidRPr="00FE0B2D" w:rsidTr="00D813D5">
        <w:tc>
          <w:tcPr>
            <w:tcW w:w="567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967 102,43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187 179,32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408 210,22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70 651,93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374 574,90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rPr>
          <w:trHeight w:val="787"/>
        </w:trPr>
        <w:tc>
          <w:tcPr>
            <w:tcW w:w="567" w:type="dxa"/>
            <w:vMerge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44C4" w:rsidRPr="00FE0B2D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335 317,82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115 397,74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rPr>
          <w:trHeight w:val="584"/>
        </w:trPr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184F52" w:rsidRPr="000C0BAB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460E72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7D1D7A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460E7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rPr>
          <w:trHeight w:val="283"/>
        </w:trPr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FE0B2D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FE0B2D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FE0B2D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615B45" w:rsidRPr="00615B45" w:rsidRDefault="00615B45" w:rsidP="00615B45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0C3112" w:rsidRDefault="00615B45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 w:val="restart"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11BAD" w:rsidRPr="00FE0B2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11BAD" w:rsidRPr="000C3112" w:rsidRDefault="00911BA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11BAD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lastRenderedPageBreak/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>Предоставление субсидии бюджетам муниципальных образований Московской области на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41 988,88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615B45" w:rsidRPr="00234C65" w:rsidRDefault="00615B45" w:rsidP="00615B45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3D6A38">
        <w:trPr>
          <w:trHeight w:val="600"/>
        </w:trPr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 w:val="restart"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9 025 889,68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1 917 613,41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1 851 512,49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1 984 366,47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403 297,02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502 608,99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6 636 482,78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rPr>
          <w:trHeight w:val="421"/>
        </w:trPr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405 040,43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C570B0" w:rsidRPr="00AE5013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C570B0" w:rsidRDefault="00C570B0" w:rsidP="00C570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84 569,55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62 374,95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Pr="00DF178F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70B0" w:rsidRPr="00FE0B2D" w:rsidTr="0079543A">
        <w:tc>
          <w:tcPr>
            <w:tcW w:w="567" w:type="dxa"/>
            <w:vMerge w:val="restart"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C570B0" w:rsidRPr="00FE0B2D" w:rsidRDefault="00C570B0" w:rsidP="00C570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570B0" w:rsidRPr="00FE0B2D" w:rsidRDefault="00C570B0" w:rsidP="00C570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74 786,08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57 974,95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570B0" w:rsidRPr="00FE0B2D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C570B0" w:rsidRPr="00FE0B2D" w:rsidTr="0079543A">
        <w:tc>
          <w:tcPr>
            <w:tcW w:w="567" w:type="dxa"/>
            <w:vMerge/>
          </w:tcPr>
          <w:p w:rsidR="00C570B0" w:rsidRPr="007F5C57" w:rsidRDefault="00C570B0" w:rsidP="00C570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70B0" w:rsidRPr="007F5C57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sz w:val="16"/>
                <w:szCs w:val="16"/>
              </w:rPr>
            </w:pPr>
            <w:r w:rsidRPr="00C570B0">
              <w:rPr>
                <w:sz w:val="16"/>
                <w:szCs w:val="16"/>
              </w:rPr>
              <w:t>74 786,08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C570B0" w:rsidRP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 w:rsidRPr="00C570B0">
              <w:rPr>
                <w:color w:val="000000"/>
                <w:sz w:val="16"/>
                <w:szCs w:val="16"/>
              </w:rPr>
              <w:t>57 974,95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570B0" w:rsidRDefault="00C570B0" w:rsidP="00C570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570B0" w:rsidRPr="00FE0B2D" w:rsidRDefault="00C570B0" w:rsidP="00C570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6006A" w:rsidRPr="002618A2" w:rsidRDefault="0006006A" w:rsidP="0006006A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B102E" w:rsidRPr="00C07434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177924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7D" w:rsidRDefault="0076137D" w:rsidP="00CA72CC">
      <w:r>
        <w:separator/>
      </w:r>
    </w:p>
  </w:endnote>
  <w:endnote w:type="continuationSeparator" w:id="0">
    <w:p w:rsidR="0076137D" w:rsidRDefault="0076137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7D" w:rsidRDefault="0076137D" w:rsidP="00CA72CC">
      <w:r>
        <w:separator/>
      </w:r>
    </w:p>
  </w:footnote>
  <w:footnote w:type="continuationSeparator" w:id="0">
    <w:p w:rsidR="0076137D" w:rsidRDefault="0076137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D76A77" w:rsidRDefault="00D76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5C1">
          <w:rPr>
            <w:noProof/>
          </w:rPr>
          <w:t>21</w:t>
        </w:r>
        <w:r>
          <w:fldChar w:fldCharType="end"/>
        </w:r>
      </w:p>
    </w:sdtContent>
  </w:sdt>
  <w:p w:rsidR="00D76A77" w:rsidRDefault="00D7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77924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775C1"/>
    <w:rsid w:val="002840C5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905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3E8F"/>
    <w:rsid w:val="00734335"/>
    <w:rsid w:val="0073440E"/>
    <w:rsid w:val="00734A0C"/>
    <w:rsid w:val="00736787"/>
    <w:rsid w:val="00736CDB"/>
    <w:rsid w:val="0074074F"/>
    <w:rsid w:val="00742505"/>
    <w:rsid w:val="00742A36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102E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006B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C603-3CE5-4FC0-A75A-BB3A260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72</Pages>
  <Words>18467</Words>
  <Characters>105268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597</cp:revision>
  <cp:lastPrinted>2021-09-07T08:30:00Z</cp:lastPrinted>
  <dcterms:created xsi:type="dcterms:W3CDTF">2019-11-25T11:58:00Z</dcterms:created>
  <dcterms:modified xsi:type="dcterms:W3CDTF">2021-11-26T09:53:00Z</dcterms:modified>
</cp:coreProperties>
</file>