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772309" w:rsidRDefault="00772309" w:rsidP="00772309">
      <w:pPr>
        <w:ind w:left="-1560" w:right="-567"/>
        <w:jc w:val="center"/>
        <w:outlineLvl w:val="0"/>
      </w:pPr>
      <w:r>
        <w:t xml:space="preserve"> </w:t>
      </w:r>
      <w:r w:rsidR="00CC6F01" w:rsidRPr="00537687">
        <w:t>_</w:t>
      </w:r>
      <w:r w:rsidR="00CC6F01">
        <w:t>_______________ № ___________</w:t>
      </w:r>
    </w:p>
    <w:p w:rsidR="00772309" w:rsidRDefault="00772309" w:rsidP="00772309">
      <w:pPr>
        <w:ind w:left="-1560" w:right="-567"/>
        <w:jc w:val="center"/>
        <w:outlineLvl w:val="0"/>
      </w:pPr>
    </w:p>
    <w:p w:rsidR="00772309" w:rsidRPr="00537687" w:rsidRDefault="00772309" w:rsidP="00772309">
      <w:pPr>
        <w:outlineLvl w:val="0"/>
      </w:pPr>
      <w:r>
        <w:tab/>
      </w:r>
      <w:r>
        <w:tab/>
      </w:r>
      <w:r>
        <w:tab/>
      </w:r>
      <w:r>
        <w:tab/>
      </w:r>
      <w:r>
        <w:tab/>
      </w:r>
    </w:p>
    <w:p w:rsidR="005E5DA9" w:rsidRPr="006C7CE1" w:rsidRDefault="00772309" w:rsidP="0077230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5C38AB">
        <w:rPr>
          <w:rFonts w:cs="Times New Roman"/>
        </w:rPr>
        <w:t>Московской области от 14.05.2021 №</w:t>
      </w:r>
      <w:r w:rsidR="00BA592F">
        <w:rPr>
          <w:rFonts w:cs="Times New Roman"/>
        </w:rPr>
        <w:t xml:space="preserve"> </w:t>
      </w:r>
      <w:r w:rsidR="005C38AB" w:rsidRPr="00BA592F">
        <w:rPr>
          <w:rFonts w:cs="Times New Roman"/>
        </w:rPr>
        <w:t>378/5</w:t>
      </w:r>
      <w:r w:rsidRPr="006C7CE1">
        <w:rPr>
          <w:rFonts w:cs="Times New Roman"/>
        </w:rPr>
        <w:t xml:space="preserve">, </w:t>
      </w:r>
      <w:r w:rsidR="00BA592F">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(с изменениями от </w:t>
      </w:r>
      <w:r w:rsidR="00BE1403">
        <w:rPr>
          <w:rFonts w:cs="Times New Roman"/>
        </w:rPr>
        <w:t>02.03.2021 № 176/3, от 20.06.2022 № 623/6</w:t>
      </w:r>
      <w:r w:rsidR="00BD07AC">
        <w:rPr>
          <w:rFonts w:cs="Times New Roman"/>
        </w:rPr>
        <w:t>, от 03.11.2022 № 1254/11</w:t>
      </w:r>
      <w:r w:rsidR="00BE1403">
        <w:rPr>
          <w:rFonts w:cs="Times New Roman"/>
        </w:rPr>
        <w:t xml:space="preserve">), </w:t>
      </w:r>
      <w:r w:rsidRPr="006C7CE1">
        <w:rPr>
          <w:rFonts w:cs="Times New Roman"/>
        </w:rPr>
        <w:t xml:space="preserve">решением Совета депутатов городского округа Электросталь Московской области </w:t>
      </w:r>
      <w:r w:rsidRPr="008676B5">
        <w:rPr>
          <w:rFonts w:cs="Times New Roman"/>
        </w:rPr>
        <w:t xml:space="preserve">от </w:t>
      </w:r>
      <w:r w:rsidR="00776948" w:rsidRPr="008676B5">
        <w:rPr>
          <w:rFonts w:cs="Times New Roman"/>
        </w:rPr>
        <w:t>16</w:t>
      </w:r>
      <w:r w:rsidRPr="008676B5">
        <w:rPr>
          <w:rFonts w:cs="Times New Roman"/>
        </w:rPr>
        <w:t>.12.202</w:t>
      </w:r>
      <w:r w:rsidR="00776948" w:rsidRPr="008676B5">
        <w:rPr>
          <w:rFonts w:cs="Times New Roman"/>
        </w:rPr>
        <w:t>1</w:t>
      </w:r>
      <w:r w:rsidRPr="008676B5">
        <w:rPr>
          <w:rFonts w:cs="Times New Roman"/>
        </w:rPr>
        <w:t xml:space="preserve"> № </w:t>
      </w:r>
      <w:r w:rsidR="00776948" w:rsidRPr="008676B5">
        <w:rPr>
          <w:rFonts w:cs="Times New Roman"/>
        </w:rPr>
        <w:t>106/22</w:t>
      </w:r>
      <w:r w:rsidRPr="008676B5">
        <w:rPr>
          <w:rFonts w:cs="Times New Roman"/>
        </w:rPr>
        <w:t xml:space="preserve"> «О</w:t>
      </w:r>
      <w:r w:rsidR="00776948" w:rsidRPr="008676B5">
        <w:rPr>
          <w:rFonts w:cs="Times New Roman"/>
        </w:rPr>
        <w:t> </w:t>
      </w:r>
      <w:r w:rsidRPr="008676B5">
        <w:rPr>
          <w:rFonts w:cs="Times New Roman"/>
        </w:rPr>
        <w:t>бюджете городского округа  Электросталь Московской области на 202</w:t>
      </w:r>
      <w:r w:rsidR="00776948" w:rsidRPr="008676B5">
        <w:rPr>
          <w:rFonts w:cs="Times New Roman"/>
        </w:rPr>
        <w:t>2</w:t>
      </w:r>
      <w:r w:rsidRPr="008676B5">
        <w:rPr>
          <w:rFonts w:cs="Times New Roman"/>
        </w:rPr>
        <w:t xml:space="preserve"> год и на плановый период 202</w:t>
      </w:r>
      <w:r w:rsidR="00776948" w:rsidRPr="008676B5">
        <w:rPr>
          <w:rFonts w:cs="Times New Roman"/>
        </w:rPr>
        <w:t>3</w:t>
      </w:r>
      <w:r w:rsidRPr="008676B5">
        <w:rPr>
          <w:rFonts w:cs="Times New Roman"/>
        </w:rPr>
        <w:t xml:space="preserve"> и 202</w:t>
      </w:r>
      <w:r w:rsidR="00776948" w:rsidRPr="008676B5">
        <w:rPr>
          <w:rFonts w:cs="Times New Roman"/>
        </w:rPr>
        <w:t>4</w:t>
      </w:r>
      <w:r w:rsidRPr="008676B5">
        <w:rPr>
          <w:rFonts w:cs="Times New Roman"/>
        </w:rPr>
        <w:t xml:space="preserve"> годов»</w:t>
      </w:r>
      <w:r w:rsidRPr="006C7CE1">
        <w:rPr>
          <w:rFonts w:cs="Times New Roman"/>
        </w:rPr>
        <w:t>,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№123/2</w:t>
      </w:r>
      <w:r>
        <w:rPr>
          <w:rFonts w:cs="Times New Roman"/>
        </w:rPr>
        <w:t>, от 31.05.2021 №424/5</w:t>
      </w:r>
      <w:r w:rsidR="00310E68">
        <w:rPr>
          <w:rFonts w:cs="Times New Roman"/>
        </w:rPr>
        <w:t>, от 27.12.2021 №1022/12</w:t>
      </w:r>
      <w:r w:rsidR="00043EE9" w:rsidRPr="006D7BFE">
        <w:rPr>
          <w:rFonts w:cs="Times New Roman"/>
        </w:rPr>
        <w:t>, от 16.02.2022 №</w:t>
      </w:r>
      <w:r w:rsidR="00043EE9" w:rsidRPr="00BA592F">
        <w:rPr>
          <w:rFonts w:cs="Times New Roman"/>
        </w:rPr>
        <w:t>147/2</w:t>
      </w:r>
      <w:r w:rsidR="00BA592F">
        <w:rPr>
          <w:rFonts w:cs="Times New Roman"/>
        </w:rPr>
        <w:t>, от 21.06.2022 №625/6</w:t>
      </w:r>
      <w:r w:rsidR="00772309">
        <w:rPr>
          <w:rFonts w:cs="Times New Roman"/>
        </w:rPr>
        <w:t>, от 27.09.2022 №</w:t>
      </w:r>
      <w:r w:rsidR="00BD07AC">
        <w:rPr>
          <w:rFonts w:cs="Times New Roman"/>
        </w:rPr>
        <w:t>№1107/9</w:t>
      </w:r>
      <w:r w:rsidR="00CC6F01">
        <w:rPr>
          <w:rFonts w:cs="Times New Roman"/>
        </w:rPr>
        <w:t>, от 26.12.2022 №1534/12</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2. </w:t>
      </w:r>
      <w:r w:rsidR="00AD6D2A" w:rsidRPr="006C7CE1">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r w:rsidR="008F5725">
        <w:rPr>
          <w:rFonts w:cs="Times New Roman"/>
        </w:rPr>
        <w:t xml:space="preserve"> и действует до 01.04.2023</w:t>
      </w:r>
      <w:r w:rsidRPr="006C7CE1">
        <w:rPr>
          <w:rFonts w:cs="Times New Roman"/>
        </w:rPr>
        <w:t>.</w:t>
      </w: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4. Контроль за </w:t>
      </w:r>
      <w:r w:rsidR="00175DAB">
        <w:rPr>
          <w:rFonts w:cs="Times New Roman"/>
        </w:rPr>
        <w:t>исполнением</w:t>
      </w:r>
      <w:r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9"/>
          <w:pgSz w:w="11906" w:h="16838"/>
          <w:pgMar w:top="1134" w:right="567" w:bottom="851" w:left="1701" w:header="709" w:footer="709" w:gutter="0"/>
          <w:cols w:space="708"/>
          <w:titlePg/>
          <w:docGrid w:linePitch="360"/>
        </w:sectPr>
      </w:pPr>
      <w:r>
        <w:t xml:space="preserve">        </w:t>
      </w:r>
      <w:r w:rsidR="0035133D">
        <w:t xml:space="preserve">    </w:t>
      </w: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CC6F01" w:rsidP="00310E68">
      <w:pPr>
        <w:ind w:firstLine="9639"/>
        <w:outlineLvl w:val="0"/>
        <w:rPr>
          <w:rFonts w:cs="Times New Roman"/>
        </w:rPr>
      </w:pPr>
      <w:r>
        <w:t>_________________</w:t>
      </w:r>
      <w:r w:rsidR="00310E68">
        <w:t xml:space="preserve"> № </w:t>
      </w:r>
      <w:r>
        <w:t>_________</w:t>
      </w: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№123/2</w:t>
      </w:r>
      <w:r>
        <w:rPr>
          <w:rFonts w:cs="Times New Roman"/>
        </w:rPr>
        <w:t xml:space="preserve">, </w:t>
      </w:r>
    </w:p>
    <w:p w:rsidR="00310E68" w:rsidRPr="006D7BFE" w:rsidRDefault="00310E68" w:rsidP="00043EE9">
      <w:pPr>
        <w:ind w:left="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sidR="00043EE9">
        <w:rPr>
          <w:rFonts w:cs="Times New Roman"/>
        </w:rPr>
        <w:t xml:space="preserve">, </w:t>
      </w:r>
      <w:r w:rsidR="00043EE9" w:rsidRPr="006D7BFE">
        <w:rPr>
          <w:rFonts w:cs="Times New Roman"/>
        </w:rPr>
        <w:t>от 16.02.2022 №</w:t>
      </w:r>
      <w:r w:rsidR="00043EE9" w:rsidRPr="00BA592F">
        <w:rPr>
          <w:rFonts w:cs="Times New Roman"/>
        </w:rPr>
        <w:t>147/2</w:t>
      </w:r>
      <w:r w:rsidR="00BA592F">
        <w:rPr>
          <w:rFonts w:cs="Times New Roman"/>
        </w:rPr>
        <w:t>, от 21.06.2022 №625/6</w:t>
      </w:r>
      <w:r w:rsidR="00BD07AC">
        <w:rPr>
          <w:rFonts w:cs="Times New Roman"/>
        </w:rPr>
        <w:t>, от 27.09.2022 №1107/9</w:t>
      </w:r>
      <w:r w:rsidR="006B46B4">
        <w:rPr>
          <w:rFonts w:cs="Times New Roman"/>
        </w:rPr>
        <w:t>, от 26.12.2022 №1534/12</w:t>
      </w:r>
      <w:r w:rsidRPr="006D7BFE">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0" w:name="Par218"/>
      <w:bookmarkEnd w:id="0"/>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w:t>
      </w:r>
      <w:r w:rsidR="008B011D">
        <w:rPr>
          <w:rFonts w:eastAsia="Lucida Sans Unicode" w:cs="Times New Roman"/>
          <w:bCs/>
          <w:kern w:val="2"/>
        </w:rPr>
        <w:t>5</w:t>
      </w:r>
      <w:r w:rsidRPr="008A3B63">
        <w:rPr>
          <w:rFonts w:eastAsia="Lucida Sans Unicode" w:cs="Times New Roman"/>
          <w:bCs/>
          <w:kern w:val="2"/>
        </w:rPr>
        <w:t xml:space="preserve">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7"/>
        <w:gridCol w:w="1706"/>
        <w:gridCol w:w="1584"/>
        <w:gridCol w:w="1462"/>
        <w:gridCol w:w="1514"/>
        <w:gridCol w:w="1559"/>
        <w:gridCol w:w="1559"/>
        <w:gridCol w:w="1560"/>
      </w:tblGrid>
      <w:tr w:rsidR="008B011D" w:rsidRPr="008A3B63" w:rsidTr="00BA592F">
        <w:trPr>
          <w:trHeight w:val="200"/>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944" w:type="dxa"/>
            <w:gridSpan w:val="7"/>
          </w:tcPr>
          <w:p w:rsidR="008B011D" w:rsidRPr="004238B6" w:rsidRDefault="008B011D"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8B011D" w:rsidRPr="008A3B63" w:rsidTr="00BA592F">
        <w:trPr>
          <w:trHeight w:val="24"/>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Муниципальный заказчик муниципальной программы</w:t>
            </w:r>
          </w:p>
        </w:tc>
        <w:tc>
          <w:tcPr>
            <w:tcW w:w="10944" w:type="dxa"/>
            <w:gridSpan w:val="7"/>
          </w:tcPr>
          <w:p w:rsidR="008B011D" w:rsidRDefault="008B011D" w:rsidP="00F6039F">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8B011D" w:rsidRPr="008A3B63" w:rsidTr="00BA592F">
        <w:trPr>
          <w:trHeight w:val="97"/>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944" w:type="dxa"/>
            <w:gridSpan w:val="7"/>
          </w:tcPr>
          <w:p w:rsidR="008B011D" w:rsidRPr="008A3B63" w:rsidRDefault="008B011D"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B011D" w:rsidRPr="008A3B63" w:rsidTr="00BA592F">
        <w:trPr>
          <w:trHeight w:val="1111"/>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944" w:type="dxa"/>
            <w:gridSpan w:val="7"/>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8B011D" w:rsidRPr="008A3B63" w:rsidTr="00BA592F">
        <w:trPr>
          <w:trHeight w:val="359"/>
        </w:trPr>
        <w:tc>
          <w:tcPr>
            <w:tcW w:w="3657" w:type="dxa"/>
            <w:vMerge w:val="restart"/>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944" w:type="dxa"/>
            <w:gridSpan w:val="7"/>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B011D" w:rsidRPr="008A3B63" w:rsidTr="00BA592F">
        <w:trPr>
          <w:trHeight w:val="352"/>
        </w:trPr>
        <w:tc>
          <w:tcPr>
            <w:tcW w:w="3657" w:type="dxa"/>
            <w:vMerge/>
          </w:tcPr>
          <w:p w:rsidR="008B011D" w:rsidRPr="008A3B63" w:rsidRDefault="008B011D" w:rsidP="00F6039F">
            <w:pPr>
              <w:rPr>
                <w:rFonts w:cs="Times New Roman"/>
              </w:rPr>
            </w:pPr>
          </w:p>
        </w:tc>
        <w:tc>
          <w:tcPr>
            <w:tcW w:w="1706"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58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462"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51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c>
          <w:tcPr>
            <w:tcW w:w="1560" w:type="dxa"/>
          </w:tcPr>
          <w:p w:rsidR="008B011D" w:rsidRPr="008A3B63" w:rsidRDefault="008B011D" w:rsidP="008B011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w:t>
            </w:r>
            <w:r>
              <w:rPr>
                <w:rFonts w:ascii="Times New Roman" w:hAnsi="Times New Roman" w:cs="Times New Roman"/>
                <w:sz w:val="24"/>
                <w:szCs w:val="24"/>
              </w:rPr>
              <w:t>5</w:t>
            </w:r>
            <w:r w:rsidRPr="008A3B63">
              <w:rPr>
                <w:rFonts w:ascii="Times New Roman" w:hAnsi="Times New Roman" w:cs="Times New Roman"/>
                <w:sz w:val="24"/>
                <w:szCs w:val="24"/>
              </w:rPr>
              <w:t xml:space="preserve"> год</w:t>
            </w:r>
          </w:p>
        </w:tc>
      </w:tr>
      <w:tr w:rsidR="008B011D" w:rsidRPr="008A3B63" w:rsidTr="00BA592F">
        <w:trPr>
          <w:trHeight w:val="375"/>
        </w:trPr>
        <w:tc>
          <w:tcPr>
            <w:tcW w:w="3657" w:type="dxa"/>
          </w:tcPr>
          <w:p w:rsidR="008B011D" w:rsidRPr="008A3B63" w:rsidRDefault="008B011D" w:rsidP="008B011D">
            <w:pPr>
              <w:rPr>
                <w:rFonts w:cs="Times New Roman"/>
              </w:rPr>
            </w:pPr>
            <w:r w:rsidRPr="008A3B63">
              <w:rPr>
                <w:rFonts w:cs="Times New Roman"/>
              </w:rPr>
              <w:t>Средства бюджета городского округа Электросталь Московской области</w:t>
            </w:r>
          </w:p>
        </w:tc>
        <w:tc>
          <w:tcPr>
            <w:tcW w:w="1706" w:type="dxa"/>
          </w:tcPr>
          <w:p w:rsidR="008B011D" w:rsidRPr="008676B5" w:rsidRDefault="00235F8B" w:rsidP="00E25788">
            <w:pPr>
              <w:jc w:val="center"/>
              <w:rPr>
                <w:rFonts w:cs="Times New Roman"/>
              </w:rPr>
            </w:pPr>
            <w:r>
              <w:rPr>
                <w:rFonts w:cs="Times New Roman"/>
              </w:rPr>
              <w:t>5</w:t>
            </w:r>
            <w:r w:rsidR="008B011D">
              <w:rPr>
                <w:rFonts w:cs="Times New Roman"/>
              </w:rPr>
              <w:t> </w:t>
            </w:r>
            <w:r w:rsidR="0072132E">
              <w:rPr>
                <w:rFonts w:cs="Times New Roman"/>
              </w:rPr>
              <w:t>406</w:t>
            </w:r>
            <w:r w:rsidR="008B011D">
              <w:rPr>
                <w:rFonts w:cs="Times New Roman"/>
              </w:rPr>
              <w:t>,</w:t>
            </w:r>
            <w:r w:rsidR="00E25788">
              <w:rPr>
                <w:rFonts w:cs="Times New Roman"/>
              </w:rPr>
              <w:t>1</w:t>
            </w:r>
            <w:r w:rsidR="008B011D">
              <w:rPr>
                <w:rFonts w:cs="Times New Roman"/>
              </w:rPr>
              <w:t>0</w:t>
            </w:r>
          </w:p>
        </w:tc>
        <w:tc>
          <w:tcPr>
            <w:tcW w:w="1584" w:type="dxa"/>
          </w:tcPr>
          <w:p w:rsidR="008B011D" w:rsidRPr="0014700E" w:rsidRDefault="008B011D" w:rsidP="008B011D">
            <w:pPr>
              <w:jc w:val="center"/>
              <w:rPr>
                <w:rFonts w:cs="Times New Roman"/>
              </w:rPr>
            </w:pPr>
            <w:r w:rsidRPr="0014700E">
              <w:rPr>
                <w:rFonts w:cs="Times New Roman"/>
              </w:rPr>
              <w:t>655,0</w:t>
            </w:r>
            <w:r w:rsidR="0072132E">
              <w:rPr>
                <w:rFonts w:cs="Times New Roman"/>
              </w:rPr>
              <w:t>0</w:t>
            </w:r>
          </w:p>
        </w:tc>
        <w:tc>
          <w:tcPr>
            <w:tcW w:w="1462"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14" w:type="dxa"/>
          </w:tcPr>
          <w:p w:rsidR="008B011D" w:rsidRPr="0014700E" w:rsidRDefault="0072132E" w:rsidP="00E25788">
            <w:pPr>
              <w:jc w:val="center"/>
              <w:rPr>
                <w:rFonts w:cs="Times New Roman"/>
              </w:rPr>
            </w:pPr>
            <w:r>
              <w:rPr>
                <w:rFonts w:cs="Times New Roman"/>
              </w:rPr>
              <w:t>751</w:t>
            </w:r>
            <w:r w:rsidR="008B011D" w:rsidRPr="0014700E">
              <w:rPr>
                <w:rFonts w:cs="Times New Roman"/>
              </w:rPr>
              <w:t>,</w:t>
            </w:r>
            <w:r w:rsidR="00E25788">
              <w:rPr>
                <w:rFonts w:cs="Times New Roman"/>
              </w:rPr>
              <w:t>1</w:t>
            </w:r>
            <w:r>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59"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c>
          <w:tcPr>
            <w:tcW w:w="1560"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r>
      <w:tr w:rsidR="008B011D" w:rsidRPr="008A3B63" w:rsidTr="00BA592F">
        <w:trPr>
          <w:trHeight w:val="24"/>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706" w:type="dxa"/>
          </w:tcPr>
          <w:p w:rsidR="008B011D" w:rsidRPr="0014700E" w:rsidRDefault="00235F8B" w:rsidP="008B011D">
            <w:pPr>
              <w:jc w:val="center"/>
              <w:rPr>
                <w:rFonts w:cs="Times New Roman"/>
              </w:rPr>
            </w:pPr>
            <w:r>
              <w:rPr>
                <w:rFonts w:cs="Times New Roman"/>
              </w:rPr>
              <w:t>301 880</w:t>
            </w:r>
            <w:r w:rsidR="008B011D" w:rsidRPr="0014700E">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75 480,00</w:t>
            </w:r>
          </w:p>
        </w:tc>
        <w:tc>
          <w:tcPr>
            <w:tcW w:w="1462" w:type="dxa"/>
          </w:tcPr>
          <w:p w:rsidR="008B011D" w:rsidRPr="0014700E" w:rsidRDefault="008B011D" w:rsidP="008B011D">
            <w:pPr>
              <w:jc w:val="center"/>
              <w:rPr>
                <w:rFonts w:cs="Times New Roman"/>
              </w:rPr>
            </w:pPr>
            <w:r w:rsidRPr="0014700E">
              <w:rPr>
                <w:rFonts w:cs="Times New Roman"/>
              </w:rPr>
              <w:t>72 480,00</w:t>
            </w:r>
          </w:p>
        </w:tc>
        <w:tc>
          <w:tcPr>
            <w:tcW w:w="1514" w:type="dxa"/>
          </w:tcPr>
          <w:p w:rsidR="008B011D" w:rsidRPr="0014700E" w:rsidRDefault="008B011D" w:rsidP="008B011D">
            <w:pPr>
              <w:jc w:val="center"/>
              <w:rPr>
                <w:rFonts w:cs="Times New Roman"/>
              </w:rPr>
            </w:pPr>
            <w:r w:rsidRPr="0014700E">
              <w:rPr>
                <w:rFonts w:cs="Times New Roman"/>
              </w:rPr>
              <w:t>38 480,00</w:t>
            </w:r>
          </w:p>
        </w:tc>
        <w:tc>
          <w:tcPr>
            <w:tcW w:w="1559" w:type="dxa"/>
          </w:tcPr>
          <w:p w:rsidR="008B011D" w:rsidRPr="0014700E" w:rsidRDefault="008B011D" w:rsidP="008B011D">
            <w:pPr>
              <w:jc w:val="center"/>
              <w:rPr>
                <w:rFonts w:cs="Times New Roman"/>
              </w:rPr>
            </w:pPr>
            <w:r w:rsidRPr="0014700E">
              <w:rPr>
                <w:rFonts w:cs="Times New Roman"/>
              </w:rPr>
              <w:t>42 480,00</w:t>
            </w:r>
          </w:p>
        </w:tc>
        <w:tc>
          <w:tcPr>
            <w:tcW w:w="1559" w:type="dxa"/>
          </w:tcPr>
          <w:p w:rsidR="008B011D" w:rsidRPr="008A3B63" w:rsidRDefault="008B011D" w:rsidP="008B011D">
            <w:pPr>
              <w:jc w:val="center"/>
              <w:rPr>
                <w:rFonts w:cs="Times New Roman"/>
              </w:rPr>
            </w:pPr>
            <w:r w:rsidRPr="008A3B63">
              <w:rPr>
                <w:rFonts w:cs="Times New Roman"/>
              </w:rPr>
              <w:t>36 480,00</w:t>
            </w:r>
          </w:p>
        </w:tc>
        <w:tc>
          <w:tcPr>
            <w:tcW w:w="1560" w:type="dxa"/>
          </w:tcPr>
          <w:p w:rsidR="008B011D" w:rsidRPr="008A3B63" w:rsidRDefault="008B011D" w:rsidP="008B011D">
            <w:pPr>
              <w:jc w:val="center"/>
              <w:rPr>
                <w:rFonts w:cs="Times New Roman"/>
              </w:rPr>
            </w:pPr>
            <w:r w:rsidRPr="008A3B63">
              <w:rPr>
                <w:rFonts w:cs="Times New Roman"/>
              </w:rPr>
              <w:t>36 480,00</w:t>
            </w:r>
          </w:p>
        </w:tc>
      </w:tr>
      <w:tr w:rsidR="008B011D" w:rsidRPr="008A3B63" w:rsidTr="00BA592F">
        <w:trPr>
          <w:trHeight w:val="127"/>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706" w:type="dxa"/>
          </w:tcPr>
          <w:p w:rsidR="008B011D" w:rsidRPr="0014700E" w:rsidRDefault="00235F8B" w:rsidP="00E25788">
            <w:pPr>
              <w:jc w:val="center"/>
              <w:rPr>
                <w:rFonts w:cs="Times New Roman"/>
              </w:rPr>
            </w:pPr>
            <w:r>
              <w:rPr>
                <w:rFonts w:cs="Times New Roman"/>
              </w:rPr>
              <w:t xml:space="preserve">307 </w:t>
            </w:r>
            <w:r w:rsidR="0072132E">
              <w:rPr>
                <w:rFonts w:cs="Times New Roman"/>
              </w:rPr>
              <w:t>286</w:t>
            </w:r>
            <w:r w:rsidR="008B011D">
              <w:rPr>
                <w:rFonts w:cs="Times New Roman"/>
              </w:rPr>
              <w:t>,</w:t>
            </w:r>
            <w:r w:rsidR="00E25788">
              <w:rPr>
                <w:rFonts w:cs="Times New Roman"/>
              </w:rPr>
              <w:t>1</w:t>
            </w:r>
            <w:r w:rsidR="008B011D">
              <w:rPr>
                <w:rFonts w:cs="Times New Roman"/>
              </w:rPr>
              <w:t>0</w:t>
            </w:r>
          </w:p>
        </w:tc>
        <w:tc>
          <w:tcPr>
            <w:tcW w:w="1584" w:type="dxa"/>
          </w:tcPr>
          <w:p w:rsidR="008B011D" w:rsidRPr="0014700E" w:rsidRDefault="008B011D" w:rsidP="008B011D">
            <w:pPr>
              <w:jc w:val="center"/>
              <w:rPr>
                <w:rFonts w:cs="Times New Roman"/>
              </w:rPr>
            </w:pPr>
            <w:r w:rsidRPr="0014700E">
              <w:rPr>
                <w:rFonts w:cs="Times New Roman"/>
              </w:rPr>
              <w:t>76 135,00</w:t>
            </w:r>
          </w:p>
        </w:tc>
        <w:tc>
          <w:tcPr>
            <w:tcW w:w="1462" w:type="dxa"/>
          </w:tcPr>
          <w:p w:rsidR="008B011D" w:rsidRPr="0014700E" w:rsidRDefault="008B011D" w:rsidP="008B011D">
            <w:pPr>
              <w:jc w:val="center"/>
              <w:rPr>
                <w:rFonts w:cs="Times New Roman"/>
              </w:rPr>
            </w:pPr>
            <w:r w:rsidRPr="0014700E">
              <w:rPr>
                <w:rFonts w:cs="Times New Roman"/>
              </w:rPr>
              <w:t>73 480,00</w:t>
            </w:r>
          </w:p>
        </w:tc>
        <w:tc>
          <w:tcPr>
            <w:tcW w:w="1514" w:type="dxa"/>
          </w:tcPr>
          <w:p w:rsidR="008B011D" w:rsidRPr="0014700E" w:rsidRDefault="008B011D" w:rsidP="00E25788">
            <w:pPr>
              <w:jc w:val="center"/>
              <w:rPr>
                <w:rFonts w:cs="Times New Roman"/>
              </w:rPr>
            </w:pPr>
            <w:r w:rsidRPr="0014700E">
              <w:rPr>
                <w:rFonts w:cs="Times New Roman"/>
              </w:rPr>
              <w:t xml:space="preserve">39 </w:t>
            </w:r>
            <w:r w:rsidR="0072132E">
              <w:rPr>
                <w:rFonts w:cs="Times New Roman"/>
              </w:rPr>
              <w:t>231</w:t>
            </w:r>
            <w:r w:rsidRPr="0014700E">
              <w:rPr>
                <w:rFonts w:cs="Times New Roman"/>
              </w:rPr>
              <w:t>,</w:t>
            </w:r>
            <w:r w:rsidR="00E25788">
              <w:rPr>
                <w:rFonts w:cs="Times New Roman"/>
              </w:rPr>
              <w:t>1</w:t>
            </w:r>
            <w:r w:rsidRPr="0014700E">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43 480,00</w:t>
            </w:r>
          </w:p>
        </w:tc>
        <w:tc>
          <w:tcPr>
            <w:tcW w:w="1559" w:type="dxa"/>
          </w:tcPr>
          <w:p w:rsidR="008B011D" w:rsidRPr="008A3B63" w:rsidRDefault="008B011D" w:rsidP="008B011D">
            <w:pPr>
              <w:jc w:val="center"/>
              <w:rPr>
                <w:rFonts w:cs="Times New Roman"/>
              </w:rPr>
            </w:pPr>
            <w:r w:rsidRPr="008A3B63">
              <w:rPr>
                <w:rFonts w:cs="Times New Roman"/>
              </w:rPr>
              <w:t>37 480,00</w:t>
            </w:r>
          </w:p>
        </w:tc>
        <w:tc>
          <w:tcPr>
            <w:tcW w:w="1560" w:type="dxa"/>
          </w:tcPr>
          <w:p w:rsidR="008B011D" w:rsidRPr="008A3B63" w:rsidRDefault="008B011D" w:rsidP="008B011D">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Малый бизнес в городском округе Электросталь представлен 180 малыми и средними предприятиями и 4167 микропредприятиями.</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работники малых предприятий (включая микропредприятия)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lastRenderedPageBreak/>
        <w:t>–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«Элхлеб», ООО «ИКП «Техноком», ЗАО «Ацетиленовая станция» ЭКСК»,  АО «ТЭСМО», ООО «Промснабресурс», ЗАО «Полимер», ООО «Медина», ИП Вострухин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тыс.кв.м, </w:t>
      </w:r>
    </w:p>
    <w:p w:rsidR="00310E68" w:rsidRPr="008A3B63" w:rsidRDefault="00310E68" w:rsidP="00310E68">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кв.м.) и «Касторама» (площадь 16250 кв.м.)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Pr="008A3B63">
        <w:rPr>
          <w:rFonts w:ascii="Times New Roman" w:hAnsi="Times New Roman" w:cs="Times New Roman"/>
          <w:sz w:val="24"/>
          <w:szCs w:val="24"/>
        </w:rPr>
        <w:lastRenderedPageBreak/>
        <w:t>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F6039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992"/>
        <w:gridCol w:w="992"/>
        <w:gridCol w:w="1134"/>
        <w:gridCol w:w="142"/>
        <w:gridCol w:w="992"/>
        <w:gridCol w:w="1134"/>
        <w:gridCol w:w="142"/>
        <w:gridCol w:w="992"/>
        <w:gridCol w:w="1134"/>
        <w:gridCol w:w="993"/>
        <w:gridCol w:w="850"/>
      </w:tblGrid>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6663" w:type="dxa"/>
            <w:gridSpan w:val="8"/>
            <w:shd w:val="clear" w:color="auto" w:fill="auto"/>
          </w:tcPr>
          <w:p w:rsidR="00141282" w:rsidRPr="0014700E" w:rsidRDefault="00141282" w:rsidP="00F6039F">
            <w:pPr>
              <w:widowControl w:val="0"/>
              <w:suppressAutoHyphens/>
              <w:jc w:val="center"/>
              <w:rPr>
                <w:rFonts w:cs="Times New Roman"/>
                <w:sz w:val="18"/>
                <w:szCs w:val="22"/>
              </w:rPr>
            </w:pPr>
            <w:r w:rsidRPr="0014700E">
              <w:rPr>
                <w:rFonts w:cs="Times New Roman"/>
                <w:sz w:val="22"/>
                <w:szCs w:val="22"/>
              </w:rPr>
              <w:t>Планируемое значение показателя по годам реализации</w:t>
            </w:r>
          </w:p>
        </w:tc>
        <w:tc>
          <w:tcPr>
            <w:tcW w:w="850"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141282" w:rsidRPr="00C01409" w:rsidTr="00141282">
        <w:trPr>
          <w:jc w:val="center"/>
        </w:trPr>
        <w:tc>
          <w:tcPr>
            <w:tcW w:w="704" w:type="dxa"/>
            <w:vMerge/>
            <w:shd w:val="clear" w:color="auto" w:fill="auto"/>
          </w:tcPr>
          <w:p w:rsidR="00141282" w:rsidRPr="0014700E" w:rsidRDefault="00141282" w:rsidP="00F6039F">
            <w:pPr>
              <w:rPr>
                <w:rFonts w:cs="Times New Roman"/>
                <w:sz w:val="22"/>
                <w:szCs w:val="22"/>
              </w:rPr>
            </w:pPr>
          </w:p>
        </w:tc>
        <w:tc>
          <w:tcPr>
            <w:tcW w:w="3267" w:type="dxa"/>
            <w:vMerge/>
            <w:shd w:val="clear" w:color="auto" w:fill="auto"/>
          </w:tcPr>
          <w:p w:rsidR="00141282" w:rsidRPr="0014700E" w:rsidRDefault="00141282" w:rsidP="00F6039F">
            <w:pPr>
              <w:rPr>
                <w:rFonts w:cs="Times New Roman"/>
                <w:sz w:val="22"/>
                <w:szCs w:val="22"/>
              </w:rPr>
            </w:pPr>
          </w:p>
        </w:tc>
        <w:tc>
          <w:tcPr>
            <w:tcW w:w="1978" w:type="dxa"/>
            <w:vMerge/>
            <w:shd w:val="clear" w:color="auto" w:fill="auto"/>
          </w:tcPr>
          <w:p w:rsidR="00141282" w:rsidRPr="0014700E" w:rsidRDefault="00141282" w:rsidP="00F6039F">
            <w:pPr>
              <w:jc w:val="cente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2020 год</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2021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2022 год</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2023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2024 год</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2025 год</w:t>
            </w:r>
          </w:p>
        </w:tc>
        <w:tc>
          <w:tcPr>
            <w:tcW w:w="850" w:type="dxa"/>
            <w:vMerge/>
            <w:shd w:val="clear" w:color="auto" w:fill="auto"/>
          </w:tcPr>
          <w:p w:rsidR="00141282" w:rsidRPr="0014700E"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6</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8</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10</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11</w:t>
            </w:r>
          </w:p>
        </w:tc>
        <w:tc>
          <w:tcPr>
            <w:tcW w:w="850" w:type="dxa"/>
            <w:shd w:val="clear" w:color="auto" w:fill="auto"/>
          </w:tcPr>
          <w:p w:rsidR="00141282" w:rsidRPr="0014700E" w:rsidRDefault="00141282" w:rsidP="00141282">
            <w:pPr>
              <w:widowControl w:val="0"/>
              <w:suppressAutoHyphens/>
              <w:jc w:val="center"/>
              <w:rPr>
                <w:rFonts w:cs="Times New Roman"/>
                <w:sz w:val="22"/>
                <w:szCs w:val="22"/>
              </w:rPr>
            </w:pPr>
            <w:r w:rsidRPr="0014700E">
              <w:rPr>
                <w:rFonts w:cs="Times New Roman"/>
                <w:sz w:val="22"/>
                <w:szCs w:val="22"/>
              </w:rPr>
              <w:t>1</w:t>
            </w:r>
            <w:r>
              <w:rPr>
                <w:rFonts w:cs="Times New Roman"/>
                <w:sz w:val="22"/>
                <w:szCs w:val="22"/>
              </w:rPr>
              <w:t>2</w:t>
            </w:r>
          </w:p>
        </w:tc>
      </w:tr>
      <w:tr w:rsidR="00141282" w:rsidRPr="00C01409" w:rsidTr="00141282">
        <w:trPr>
          <w:trHeight w:val="3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13892" w:type="dxa"/>
            <w:gridSpan w:val="12"/>
            <w:shd w:val="clear" w:color="auto" w:fill="auto"/>
          </w:tcPr>
          <w:p w:rsidR="00141282" w:rsidRPr="0014700E" w:rsidRDefault="00141282" w:rsidP="00141282">
            <w:pPr>
              <w:widowControl w:val="0"/>
              <w:suppressAutoHyphens/>
              <w:rPr>
                <w:rFonts w:cs="Times New Roman"/>
                <w:sz w:val="22"/>
                <w:szCs w:val="22"/>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Х</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тыс.рублей</w:t>
            </w:r>
          </w:p>
        </w:tc>
        <w:tc>
          <w:tcPr>
            <w:tcW w:w="992" w:type="dxa"/>
            <w:shd w:val="clear" w:color="auto" w:fill="auto"/>
          </w:tcPr>
          <w:p w:rsidR="00141282" w:rsidRPr="0014700E" w:rsidRDefault="00141282" w:rsidP="00F6039F">
            <w:pPr>
              <w:jc w:val="center"/>
              <w:rPr>
                <w:sz w:val="22"/>
              </w:rPr>
            </w:pPr>
            <w:r w:rsidRPr="0014700E">
              <w:rPr>
                <w:sz w:val="22"/>
              </w:rPr>
              <w:t>18,10</w:t>
            </w:r>
          </w:p>
        </w:tc>
        <w:tc>
          <w:tcPr>
            <w:tcW w:w="1276" w:type="dxa"/>
            <w:gridSpan w:val="2"/>
            <w:shd w:val="clear" w:color="auto" w:fill="auto"/>
          </w:tcPr>
          <w:p w:rsidR="00141282" w:rsidRPr="0014700E" w:rsidRDefault="00141282" w:rsidP="00F6039F">
            <w:pPr>
              <w:jc w:val="center"/>
              <w:rPr>
                <w:sz w:val="22"/>
              </w:rPr>
            </w:pPr>
            <w:r w:rsidRPr="0014700E">
              <w:rPr>
                <w:sz w:val="22"/>
              </w:rPr>
              <w:t>19,85</w:t>
            </w:r>
          </w:p>
          <w:p w:rsidR="00141282" w:rsidRPr="0014700E" w:rsidRDefault="00141282" w:rsidP="00F6039F">
            <w:pPr>
              <w:jc w:val="center"/>
              <w:rPr>
                <w:sz w:val="22"/>
              </w:rPr>
            </w:pPr>
          </w:p>
        </w:tc>
        <w:tc>
          <w:tcPr>
            <w:tcW w:w="992" w:type="dxa"/>
            <w:shd w:val="clear" w:color="auto" w:fill="auto"/>
          </w:tcPr>
          <w:p w:rsidR="00141282" w:rsidRPr="0014700E" w:rsidRDefault="005D21D8" w:rsidP="00F6039F">
            <w:pPr>
              <w:jc w:val="center"/>
              <w:rPr>
                <w:sz w:val="22"/>
              </w:rPr>
            </w:pPr>
            <w:r>
              <w:rPr>
                <w:sz w:val="22"/>
              </w:rPr>
              <w:t>73,68</w:t>
            </w:r>
          </w:p>
        </w:tc>
        <w:tc>
          <w:tcPr>
            <w:tcW w:w="1134" w:type="dxa"/>
            <w:shd w:val="clear" w:color="auto" w:fill="auto"/>
          </w:tcPr>
          <w:p w:rsidR="00141282" w:rsidRPr="0014700E" w:rsidRDefault="005D21D8" w:rsidP="00F6039F">
            <w:pPr>
              <w:jc w:val="center"/>
              <w:rPr>
                <w:sz w:val="22"/>
              </w:rPr>
            </w:pPr>
            <w:r>
              <w:rPr>
                <w:sz w:val="22"/>
              </w:rPr>
              <w:t>72,6</w:t>
            </w:r>
          </w:p>
        </w:tc>
        <w:tc>
          <w:tcPr>
            <w:tcW w:w="1134" w:type="dxa"/>
            <w:gridSpan w:val="2"/>
            <w:shd w:val="clear" w:color="auto" w:fill="auto"/>
          </w:tcPr>
          <w:p w:rsidR="00141282" w:rsidRPr="0014700E" w:rsidRDefault="005D21D8" w:rsidP="00D5049F">
            <w:pPr>
              <w:jc w:val="center"/>
              <w:rPr>
                <w:sz w:val="22"/>
              </w:rPr>
            </w:pPr>
            <w:r>
              <w:rPr>
                <w:sz w:val="22"/>
              </w:rPr>
              <w:t>33,</w:t>
            </w:r>
            <w:r w:rsidR="00D5049F">
              <w:rPr>
                <w:sz w:val="22"/>
              </w:rPr>
              <w:t>2</w:t>
            </w:r>
            <w:r>
              <w:rPr>
                <w:sz w:val="22"/>
              </w:rPr>
              <w:t>5</w:t>
            </w:r>
          </w:p>
        </w:tc>
        <w:tc>
          <w:tcPr>
            <w:tcW w:w="1134" w:type="dxa"/>
            <w:shd w:val="clear" w:color="auto" w:fill="auto"/>
          </w:tcPr>
          <w:p w:rsidR="00141282" w:rsidRPr="0014700E" w:rsidRDefault="005D21D8" w:rsidP="00F6039F">
            <w:pPr>
              <w:jc w:val="center"/>
              <w:rPr>
                <w:sz w:val="22"/>
              </w:rPr>
            </w:pPr>
            <w:r>
              <w:rPr>
                <w:sz w:val="22"/>
              </w:rPr>
              <w:t>25,08</w:t>
            </w:r>
          </w:p>
        </w:tc>
        <w:tc>
          <w:tcPr>
            <w:tcW w:w="993" w:type="dxa"/>
          </w:tcPr>
          <w:p w:rsidR="00141282" w:rsidRPr="0014700E" w:rsidRDefault="005D21D8" w:rsidP="008676B5">
            <w:pPr>
              <w:widowControl w:val="0"/>
              <w:suppressAutoHyphens/>
              <w:jc w:val="center"/>
              <w:rPr>
                <w:rFonts w:cs="Times New Roman"/>
                <w:sz w:val="22"/>
                <w:szCs w:val="22"/>
              </w:rPr>
            </w:pPr>
            <w:r>
              <w:rPr>
                <w:rFonts w:cs="Times New Roman"/>
                <w:sz w:val="22"/>
                <w:szCs w:val="22"/>
              </w:rPr>
              <w:t>25,30</w:t>
            </w:r>
          </w:p>
        </w:tc>
        <w:tc>
          <w:tcPr>
            <w:tcW w:w="850" w:type="dxa"/>
            <w:shd w:val="clear" w:color="auto" w:fill="auto"/>
          </w:tcPr>
          <w:p w:rsidR="00141282" w:rsidRPr="0014700E" w:rsidRDefault="00141282" w:rsidP="008676B5">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141282" w:rsidRPr="0014700E" w:rsidRDefault="00141282" w:rsidP="00F6039F">
            <w:pPr>
              <w:jc w:val="center"/>
              <w:rPr>
                <w:sz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sz w:val="22"/>
              </w:rPr>
            </w:pPr>
            <w:r w:rsidRPr="0014700E">
              <w:rPr>
                <w:sz w:val="22"/>
              </w:rPr>
              <w:t>9,2</w:t>
            </w:r>
          </w:p>
        </w:tc>
        <w:tc>
          <w:tcPr>
            <w:tcW w:w="1276" w:type="dxa"/>
            <w:gridSpan w:val="2"/>
            <w:shd w:val="clear" w:color="auto" w:fill="auto"/>
          </w:tcPr>
          <w:p w:rsidR="00141282" w:rsidRPr="0014700E" w:rsidRDefault="00141282" w:rsidP="00F6039F">
            <w:pPr>
              <w:jc w:val="center"/>
              <w:rPr>
                <w:sz w:val="22"/>
              </w:rPr>
            </w:pPr>
            <w:r w:rsidRPr="0014700E">
              <w:rPr>
                <w:sz w:val="22"/>
              </w:rPr>
              <w:t>15</w:t>
            </w:r>
          </w:p>
        </w:tc>
        <w:tc>
          <w:tcPr>
            <w:tcW w:w="992" w:type="dxa"/>
            <w:shd w:val="clear" w:color="auto" w:fill="auto"/>
          </w:tcPr>
          <w:p w:rsidR="00141282" w:rsidRPr="0014700E" w:rsidRDefault="00141282" w:rsidP="00F6039F">
            <w:pPr>
              <w:jc w:val="center"/>
              <w:rPr>
                <w:sz w:val="22"/>
              </w:rPr>
            </w:pPr>
            <w:r w:rsidRPr="0014700E">
              <w:rPr>
                <w:sz w:val="22"/>
              </w:rPr>
              <w:t>27</w:t>
            </w:r>
          </w:p>
          <w:p w:rsidR="00141282" w:rsidRPr="0014700E" w:rsidRDefault="00141282" w:rsidP="00F6039F">
            <w:pPr>
              <w:jc w:val="center"/>
              <w:rPr>
                <w:sz w:val="22"/>
              </w:rPr>
            </w:pPr>
          </w:p>
        </w:tc>
        <w:tc>
          <w:tcPr>
            <w:tcW w:w="1134" w:type="dxa"/>
            <w:shd w:val="clear" w:color="auto" w:fill="auto"/>
          </w:tcPr>
          <w:p w:rsidR="00141282" w:rsidRPr="0014700E" w:rsidRDefault="00141282" w:rsidP="00F6039F">
            <w:pPr>
              <w:jc w:val="center"/>
              <w:rPr>
                <w:sz w:val="22"/>
              </w:rPr>
            </w:pPr>
            <w:r w:rsidRPr="0014700E">
              <w:rPr>
                <w:sz w:val="22"/>
              </w:rPr>
              <w:t>-</w:t>
            </w:r>
          </w:p>
        </w:tc>
        <w:tc>
          <w:tcPr>
            <w:tcW w:w="1134" w:type="dxa"/>
            <w:gridSpan w:val="2"/>
            <w:shd w:val="clear" w:color="auto" w:fill="auto"/>
          </w:tcPr>
          <w:p w:rsidR="00141282" w:rsidRPr="0014700E" w:rsidRDefault="00141282" w:rsidP="00F6039F">
            <w:pPr>
              <w:jc w:val="center"/>
              <w:rPr>
                <w:sz w:val="22"/>
              </w:rPr>
            </w:pPr>
            <w:r w:rsidRPr="0014700E">
              <w:rPr>
                <w:sz w:val="22"/>
              </w:rPr>
              <w:t>-</w:t>
            </w:r>
          </w:p>
        </w:tc>
        <w:tc>
          <w:tcPr>
            <w:tcW w:w="1134" w:type="dxa"/>
            <w:shd w:val="clear" w:color="auto" w:fill="auto"/>
          </w:tcPr>
          <w:p w:rsidR="00141282" w:rsidRPr="0014700E" w:rsidRDefault="00141282" w:rsidP="00F6039F">
            <w:pPr>
              <w:jc w:val="center"/>
              <w:rPr>
                <w:sz w:val="22"/>
              </w:rPr>
            </w:pPr>
            <w:r w:rsidRPr="0014700E">
              <w:rPr>
                <w:sz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722"/>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11</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57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Га</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2,45</w:t>
            </w:r>
          </w:p>
          <w:p w:rsidR="00141282" w:rsidRPr="0014700E" w:rsidRDefault="00141282" w:rsidP="00F6039F">
            <w:pPr>
              <w:widowControl w:val="0"/>
              <w:autoSpaceDE w:val="0"/>
              <w:autoSpaceDN w:val="0"/>
              <w:jc w:val="center"/>
              <w:rPr>
                <w:rFonts w:cs="Times New Roman"/>
                <w:sz w:val="22"/>
                <w:szCs w:val="22"/>
              </w:rPr>
            </w:pP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9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141282" w:rsidRPr="0014700E" w:rsidRDefault="00141282" w:rsidP="00F6039F">
            <w:pPr>
              <w:jc w:val="center"/>
              <w:rPr>
                <w:rFonts w:cs="Times New Roman"/>
                <w:sz w:val="18"/>
                <w:szCs w:val="18"/>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108,1</w:t>
            </w: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100,5</w:t>
            </w:r>
          </w:p>
        </w:tc>
        <w:tc>
          <w:tcPr>
            <w:tcW w:w="992"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108,1</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109,5</w:t>
            </w:r>
          </w:p>
        </w:tc>
        <w:tc>
          <w:tcPr>
            <w:tcW w:w="1134" w:type="dxa"/>
            <w:gridSpan w:val="2"/>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104,2</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104,7</w:t>
            </w:r>
          </w:p>
        </w:tc>
        <w:tc>
          <w:tcPr>
            <w:tcW w:w="993" w:type="dxa"/>
          </w:tcPr>
          <w:p w:rsidR="00141282" w:rsidRPr="002F35A6" w:rsidRDefault="005D21D8" w:rsidP="00F6039F">
            <w:pPr>
              <w:jc w:val="center"/>
              <w:rPr>
                <w:sz w:val="22"/>
                <w:szCs w:val="22"/>
              </w:rPr>
            </w:pPr>
            <w:r>
              <w:rPr>
                <w:sz w:val="22"/>
                <w:szCs w:val="22"/>
              </w:rPr>
              <w:t>103,6</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Производительность труда в базовых несырьевых отраслях экономики</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784"/>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Тыс.рублей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3 323 944</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3 300 000</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02,07</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276" w:type="dxa"/>
            <w:gridSpan w:val="2"/>
            <w:shd w:val="clear" w:color="auto" w:fill="auto"/>
          </w:tcPr>
          <w:p w:rsidR="00141282" w:rsidRPr="0014700E" w:rsidRDefault="00141282" w:rsidP="00F6039F">
            <w:pPr>
              <w:jc w:val="center"/>
              <w:rPr>
                <w:rFonts w:cs="Times New Roman"/>
                <w:strike/>
                <w:sz w:val="22"/>
                <w:szCs w:val="22"/>
              </w:rPr>
            </w:pPr>
            <w:r w:rsidRPr="0014700E">
              <w:rPr>
                <w:rFonts w:cs="Times New Roman"/>
                <w:strike/>
                <w:sz w:val="22"/>
                <w:szCs w:val="22"/>
              </w:rPr>
              <w:t>-</w:t>
            </w: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254,7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98,3</w:t>
            </w: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43,7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70,5</w:t>
            </w:r>
          </w:p>
        </w:tc>
        <w:tc>
          <w:tcPr>
            <w:tcW w:w="993" w:type="dxa"/>
          </w:tcPr>
          <w:p w:rsidR="00141282" w:rsidRPr="002F35A6" w:rsidRDefault="0076193E" w:rsidP="008676B5">
            <w:pPr>
              <w:jc w:val="center"/>
              <w:rPr>
                <w:sz w:val="22"/>
                <w:szCs w:val="22"/>
              </w:rPr>
            </w:pPr>
            <w:r>
              <w:rPr>
                <w:sz w:val="22"/>
                <w:szCs w:val="22"/>
              </w:rPr>
              <w:t>95,3</w:t>
            </w:r>
          </w:p>
        </w:tc>
        <w:tc>
          <w:tcPr>
            <w:tcW w:w="850" w:type="dxa"/>
            <w:shd w:val="clear" w:color="auto" w:fill="auto"/>
          </w:tcPr>
          <w:p w:rsidR="00141282" w:rsidRPr="0014700E" w:rsidRDefault="00141282" w:rsidP="008676B5">
            <w:pPr>
              <w:jc w:val="center"/>
              <w:rPr>
                <w:lang w:val="en-US"/>
              </w:rP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141282" w:rsidRPr="0014700E" w:rsidRDefault="00141282" w:rsidP="00F6039F">
            <w:pPr>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мест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240</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198</w:t>
            </w:r>
          </w:p>
          <w:p w:rsidR="00141282" w:rsidRPr="0014700E" w:rsidRDefault="00141282" w:rsidP="00F6039F">
            <w:pPr>
              <w:jc w:val="center"/>
              <w:rPr>
                <w:rFonts w:cs="Times New Roman"/>
                <w:strike/>
                <w:sz w:val="22"/>
                <w:szCs w:val="22"/>
              </w:rPr>
            </w:pP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495</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320</w:t>
            </w:r>
          </w:p>
          <w:p w:rsidR="00141282" w:rsidRPr="0014700E" w:rsidRDefault="00141282" w:rsidP="00F6039F">
            <w:pPr>
              <w:jc w:val="center"/>
              <w:rPr>
                <w:rFonts w:cs="Times New Roman"/>
                <w:sz w:val="22"/>
                <w:szCs w:val="22"/>
              </w:rPr>
            </w:pP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993" w:type="dxa"/>
          </w:tcPr>
          <w:p w:rsidR="00141282" w:rsidRPr="002F35A6" w:rsidRDefault="0076193E" w:rsidP="00F6039F">
            <w:pPr>
              <w:jc w:val="center"/>
              <w:rPr>
                <w:sz w:val="22"/>
                <w:szCs w:val="22"/>
              </w:rPr>
            </w:pPr>
            <w:r>
              <w:rPr>
                <w:sz w:val="22"/>
                <w:szCs w:val="22"/>
              </w:rPr>
              <w:t>300</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188"/>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3892" w:type="dxa"/>
            <w:gridSpan w:val="12"/>
            <w:shd w:val="clear" w:color="auto" w:fill="auto"/>
          </w:tcPr>
          <w:p w:rsidR="00141282" w:rsidRPr="0014700E" w:rsidRDefault="00141282" w:rsidP="00141282">
            <w:pPr>
              <w:widowControl w:val="0"/>
              <w:suppressAutoHyphens/>
              <w:rPr>
                <w:rFonts w:cs="Times New Roman"/>
                <w:sz w:val="22"/>
                <w:szCs w:val="22"/>
                <w:lang w:val="en-US"/>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trHeight w:val="895"/>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1,49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3,6</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40</w:t>
            </w:r>
          </w:p>
        </w:tc>
        <w:tc>
          <w:tcPr>
            <w:tcW w:w="1134" w:type="dxa"/>
            <w:shd w:val="clear" w:color="auto" w:fill="auto"/>
          </w:tcPr>
          <w:p w:rsidR="00141282" w:rsidRPr="0014700E" w:rsidRDefault="00141282" w:rsidP="00F6039F">
            <w:pPr>
              <w:jc w:val="center"/>
            </w:pPr>
            <w:r w:rsidRPr="0014700E">
              <w:t>-</w:t>
            </w:r>
          </w:p>
        </w:tc>
        <w:tc>
          <w:tcPr>
            <w:tcW w:w="1134" w:type="dxa"/>
            <w:gridSpan w:val="2"/>
            <w:shd w:val="clear" w:color="auto" w:fill="auto"/>
          </w:tcPr>
          <w:p w:rsidR="00141282" w:rsidRPr="0014700E" w:rsidRDefault="00141282" w:rsidP="00F6039F">
            <w:pPr>
              <w:jc w:val="center"/>
            </w:pPr>
            <w:r w:rsidRPr="0014700E">
              <w:t>-</w:t>
            </w:r>
          </w:p>
        </w:tc>
        <w:tc>
          <w:tcPr>
            <w:tcW w:w="1134" w:type="dxa"/>
            <w:shd w:val="clear" w:color="auto" w:fill="auto"/>
          </w:tcPr>
          <w:p w:rsidR="00141282" w:rsidRPr="0014700E" w:rsidRDefault="00141282" w:rsidP="00F6039F">
            <w:pPr>
              <w:jc w:val="center"/>
            </w:pPr>
            <w:r w:rsidRPr="0014700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16,42</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33</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w:t>
            </w:r>
          </w:p>
        </w:tc>
        <w:tc>
          <w:tcPr>
            <w:tcW w:w="1134" w:type="dxa"/>
            <w:shd w:val="clear" w:color="auto" w:fill="auto"/>
          </w:tcPr>
          <w:p w:rsidR="00141282" w:rsidRPr="0014700E" w:rsidRDefault="00141282" w:rsidP="00F6039F">
            <w:pPr>
              <w:jc w:val="center"/>
            </w:pPr>
            <w:r w:rsidRPr="0014700E">
              <w:rPr>
                <w:rFonts w:cs="Times New Roman"/>
                <w:sz w:val="22"/>
                <w:szCs w:val="22"/>
              </w:rPr>
              <w:t>10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10</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4,67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30</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48,21</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40</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41</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7</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3,4</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4,2</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4,75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4,3</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1134" w:type="dxa"/>
            <w:gridSpan w:val="2"/>
            <w:shd w:val="clear" w:color="auto" w:fill="auto"/>
          </w:tcPr>
          <w:p w:rsidR="00141282" w:rsidRPr="006D7BFE" w:rsidRDefault="00141282" w:rsidP="00F6039F">
            <w:pPr>
              <w:jc w:val="center"/>
            </w:pPr>
            <w:r w:rsidRPr="006D7BF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04</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13892" w:type="dxa"/>
            <w:gridSpan w:val="12"/>
            <w:shd w:val="clear" w:color="auto" w:fill="auto"/>
          </w:tcPr>
          <w:p w:rsidR="00141282" w:rsidRPr="00141282" w:rsidRDefault="00141282" w:rsidP="00141282">
            <w:pPr>
              <w:widowControl w:val="0"/>
              <w:suppressAutoHyphens/>
              <w:rPr>
                <w:rFonts w:cs="Times New Roman"/>
                <w:sz w:val="22"/>
                <w:szCs w:val="22"/>
              </w:rPr>
            </w:pPr>
            <w:r w:rsidRPr="006D7BFE">
              <w:rPr>
                <w:rFonts w:cs="Times New Roman"/>
                <w:sz w:val="22"/>
                <w:szCs w:val="22"/>
              </w:rPr>
              <w:t xml:space="preserve">Подпрограмма </w:t>
            </w:r>
            <w:r w:rsidRPr="006D7BFE">
              <w:rPr>
                <w:rFonts w:cs="Times New Roman"/>
                <w:sz w:val="22"/>
                <w:szCs w:val="22"/>
                <w:lang w:val="en-US"/>
              </w:rPr>
              <w:t>III</w:t>
            </w:r>
            <w:r w:rsidRPr="006D7BFE">
              <w:rPr>
                <w:rFonts w:cs="Times New Roman"/>
                <w:sz w:val="22"/>
                <w:szCs w:val="22"/>
              </w:rPr>
              <w:t xml:space="preserve"> «Развитие малого и среднего предпринимательства»</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29,18</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27,06</w:t>
            </w:r>
          </w:p>
        </w:tc>
        <w:tc>
          <w:tcPr>
            <w:tcW w:w="1134" w:type="dxa"/>
            <w:gridSpan w:val="2"/>
            <w:shd w:val="clear" w:color="auto" w:fill="auto"/>
          </w:tcPr>
          <w:p w:rsidR="00141282" w:rsidRPr="0014700E" w:rsidRDefault="0076193E" w:rsidP="00F6039F">
            <w:pPr>
              <w:widowControl w:val="0"/>
              <w:suppressAutoHyphens/>
              <w:jc w:val="center"/>
              <w:rPr>
                <w:rFonts w:cs="Times New Roman"/>
              </w:rPr>
            </w:pPr>
            <w:r>
              <w:rPr>
                <w:rFonts w:cs="Times New Roman"/>
                <w:sz w:val="22"/>
                <w:szCs w:val="22"/>
              </w:rPr>
              <w:t>31,61</w:t>
            </w:r>
          </w:p>
        </w:tc>
        <w:tc>
          <w:tcPr>
            <w:tcW w:w="1134" w:type="dxa"/>
            <w:shd w:val="clear" w:color="auto" w:fill="auto"/>
          </w:tcPr>
          <w:p w:rsidR="00141282" w:rsidRPr="006D7BFE" w:rsidRDefault="0076193E" w:rsidP="00F6039F">
            <w:pPr>
              <w:widowControl w:val="0"/>
              <w:suppressAutoHyphens/>
              <w:jc w:val="center"/>
              <w:rPr>
                <w:rFonts w:cs="Times New Roman"/>
                <w:sz w:val="22"/>
                <w:szCs w:val="22"/>
              </w:rPr>
            </w:pPr>
            <w:r>
              <w:rPr>
                <w:rFonts w:cs="Times New Roman"/>
                <w:sz w:val="22"/>
                <w:szCs w:val="22"/>
              </w:rPr>
              <w:t>30,21</w:t>
            </w:r>
          </w:p>
        </w:tc>
        <w:tc>
          <w:tcPr>
            <w:tcW w:w="1134" w:type="dxa"/>
            <w:gridSpan w:val="2"/>
            <w:shd w:val="clear" w:color="auto" w:fill="auto"/>
          </w:tcPr>
          <w:p w:rsidR="00141282" w:rsidRPr="006D7BFE" w:rsidRDefault="00D5049F" w:rsidP="00F6039F">
            <w:pPr>
              <w:widowControl w:val="0"/>
              <w:suppressAutoHyphens/>
              <w:jc w:val="center"/>
              <w:rPr>
                <w:rFonts w:cs="Times New Roman"/>
              </w:rPr>
            </w:pPr>
            <w:r>
              <w:rPr>
                <w:rFonts w:cs="Times New Roman"/>
                <w:sz w:val="22"/>
                <w:szCs w:val="22"/>
              </w:rPr>
              <w:t>30,28</w:t>
            </w:r>
          </w:p>
        </w:tc>
        <w:tc>
          <w:tcPr>
            <w:tcW w:w="1134" w:type="dxa"/>
            <w:shd w:val="clear" w:color="auto" w:fill="auto"/>
          </w:tcPr>
          <w:p w:rsidR="00141282" w:rsidRPr="006D7BFE" w:rsidRDefault="0076193E" w:rsidP="00F6039F">
            <w:pPr>
              <w:widowControl w:val="0"/>
              <w:suppressAutoHyphens/>
              <w:jc w:val="center"/>
              <w:rPr>
                <w:rFonts w:cs="Times New Roman"/>
              </w:rPr>
            </w:pPr>
            <w:r>
              <w:rPr>
                <w:rFonts w:cs="Times New Roman"/>
                <w:sz w:val="22"/>
                <w:szCs w:val="22"/>
              </w:rPr>
              <w:t>35,35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33,48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318,28</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343,37</w:t>
            </w:r>
          </w:p>
        </w:tc>
        <w:tc>
          <w:tcPr>
            <w:tcW w:w="1134" w:type="dxa"/>
            <w:gridSpan w:val="2"/>
            <w:shd w:val="clear" w:color="auto" w:fill="auto"/>
          </w:tcPr>
          <w:p w:rsidR="00141282" w:rsidRPr="0014700E" w:rsidRDefault="0076193E" w:rsidP="00F6039F">
            <w:pPr>
              <w:jc w:val="center"/>
              <w:rPr>
                <w:rFonts w:cs="Times New Roman"/>
              </w:rPr>
            </w:pPr>
            <w:r>
              <w:rPr>
                <w:rFonts w:cs="Times New Roman"/>
                <w:sz w:val="22"/>
                <w:szCs w:val="22"/>
              </w:rPr>
              <w:t>364,24</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370,48</w:t>
            </w:r>
          </w:p>
        </w:tc>
        <w:tc>
          <w:tcPr>
            <w:tcW w:w="1134" w:type="dxa"/>
            <w:gridSpan w:val="2"/>
            <w:shd w:val="clear" w:color="auto" w:fill="auto"/>
          </w:tcPr>
          <w:p w:rsidR="00141282" w:rsidRPr="006D7BFE" w:rsidRDefault="0076193E" w:rsidP="00F6039F">
            <w:pPr>
              <w:jc w:val="center"/>
              <w:rPr>
                <w:rFonts w:cs="Times New Roman"/>
              </w:rPr>
            </w:pPr>
            <w:r>
              <w:rPr>
                <w:rFonts w:cs="Times New Roman"/>
                <w:sz w:val="22"/>
                <w:szCs w:val="22"/>
              </w:rPr>
              <w:t>374,61</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378,85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382,71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141282" w:rsidRPr="0014700E" w:rsidRDefault="00141282"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58,43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58,43</w:t>
            </w:r>
          </w:p>
          <w:p w:rsidR="00141282" w:rsidRPr="0014700E" w:rsidRDefault="00141282" w:rsidP="00F6039F">
            <w:pPr>
              <w:jc w:val="center"/>
              <w:rPr>
                <w:rFonts w:cs="Times New Roman"/>
                <w:sz w:val="22"/>
                <w:szCs w:val="22"/>
              </w:rPr>
            </w:pPr>
          </w:p>
          <w:p w:rsidR="00141282" w:rsidRPr="0014700E" w:rsidRDefault="00141282" w:rsidP="00F6039F">
            <w:pPr>
              <w:jc w:val="center"/>
              <w:rPr>
                <w:rFonts w:cs="Times New Roman"/>
              </w:rPr>
            </w:pP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2,13</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2,72</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45,45</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46,03</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46,61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15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25</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D45BDD"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779</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786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55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65</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75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08</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тысяч 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0,011</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0,016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978" w:type="dxa"/>
          </w:tcPr>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 xml:space="preserve">ВДЛ </w:t>
            </w:r>
          </w:p>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w:t>
            </w:r>
          </w:p>
        </w:tc>
        <w:tc>
          <w:tcPr>
            <w:tcW w:w="1134" w:type="dxa"/>
          </w:tcPr>
          <w:p w:rsidR="00141282" w:rsidRPr="000248EB" w:rsidRDefault="00141282" w:rsidP="00F6039F">
            <w:pPr>
              <w:jc w:val="center"/>
              <w:rPr>
                <w:rFonts w:cs="Times New Roman"/>
              </w:rPr>
            </w:pPr>
            <w:r w:rsidRPr="000248EB">
              <w:rPr>
                <w:rFonts w:cs="Times New Roman"/>
                <w:sz w:val="22"/>
                <w:szCs w:val="22"/>
              </w:rPr>
              <w:t>17 693</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141282" w:rsidRPr="000248EB"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widowControl w:val="0"/>
              <w:suppressAutoHyphens/>
              <w:jc w:val="center"/>
              <w:rPr>
                <w:rFonts w:cs="Times New Roman"/>
              </w:rPr>
            </w:pPr>
            <w:r w:rsidRPr="000248EB">
              <w:rPr>
                <w:rFonts w:cs="Times New Roman"/>
                <w:sz w:val="22"/>
                <w:szCs w:val="22"/>
              </w:rPr>
              <w:t xml:space="preserve">1880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2975</w:t>
            </w:r>
          </w:p>
        </w:tc>
        <w:tc>
          <w:tcPr>
            <w:tcW w:w="1134" w:type="dxa"/>
          </w:tcPr>
          <w:p w:rsidR="00141282" w:rsidRPr="000248EB" w:rsidRDefault="00C87C8E" w:rsidP="00F6039F">
            <w:pPr>
              <w:jc w:val="center"/>
              <w:rPr>
                <w:rFonts w:cs="Times New Roman"/>
              </w:rPr>
            </w:pPr>
            <w:r>
              <w:rPr>
                <w:rFonts w:cs="Times New Roman"/>
                <w:sz w:val="22"/>
                <w:szCs w:val="22"/>
              </w:rPr>
              <w:t>7191</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w:t>
            </w:r>
          </w:p>
        </w:tc>
        <w:tc>
          <w:tcPr>
            <w:tcW w:w="13892" w:type="dxa"/>
            <w:gridSpan w:val="12"/>
          </w:tcPr>
          <w:p w:rsidR="00141282" w:rsidRPr="00141282" w:rsidRDefault="00141282" w:rsidP="00141282">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lang w:val="en-US"/>
              </w:rPr>
              <w:t>X</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lastRenderedPageBreak/>
              <w:t>Кв.м.</w:t>
            </w:r>
          </w:p>
          <w:p w:rsidR="00141282" w:rsidRPr="00C01409" w:rsidRDefault="00141282" w:rsidP="00F6039F">
            <w:pPr>
              <w:jc w:val="center"/>
              <w:rPr>
                <w:rFonts w:cs="Times New Roman"/>
                <w:sz w:val="22"/>
                <w:szCs w:val="22"/>
              </w:rPr>
            </w:pPr>
            <w:r w:rsidRPr="00C01409">
              <w:rPr>
                <w:rFonts w:cs="Times New Roman"/>
                <w:sz w:val="22"/>
                <w:szCs w:val="22"/>
              </w:rPr>
              <w:t>на 1000 чел</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1643,7</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1696,5</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1776,7</w:t>
            </w:r>
          </w:p>
        </w:tc>
        <w:tc>
          <w:tcPr>
            <w:tcW w:w="1134" w:type="dxa"/>
          </w:tcPr>
          <w:p w:rsidR="00141282" w:rsidRPr="00C01409" w:rsidRDefault="00141282" w:rsidP="00F6039F">
            <w:pPr>
              <w:jc w:val="center"/>
              <w:rPr>
                <w:rFonts w:cs="Times New Roman"/>
                <w:sz w:val="22"/>
                <w:szCs w:val="22"/>
              </w:rPr>
            </w:pPr>
            <w:r>
              <w:rPr>
                <w:rFonts w:cs="Times New Roman"/>
                <w:sz w:val="22"/>
                <w:szCs w:val="22"/>
              </w:rPr>
              <w:t>1807,6</w:t>
            </w:r>
          </w:p>
        </w:tc>
        <w:tc>
          <w:tcPr>
            <w:tcW w:w="1134" w:type="dxa"/>
            <w:gridSpan w:val="2"/>
          </w:tcPr>
          <w:p w:rsidR="00141282" w:rsidRPr="00C01409" w:rsidRDefault="00D5049F" w:rsidP="00F6039F">
            <w:pPr>
              <w:jc w:val="center"/>
              <w:rPr>
                <w:rFonts w:cs="Times New Roman"/>
                <w:sz w:val="22"/>
                <w:szCs w:val="22"/>
              </w:rPr>
            </w:pPr>
            <w:r>
              <w:rPr>
                <w:rFonts w:cs="Times New Roman"/>
                <w:sz w:val="22"/>
                <w:szCs w:val="22"/>
              </w:rPr>
              <w:t>1867,9</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1810,0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1810,0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141282" w:rsidRPr="00C01409" w:rsidRDefault="00141282" w:rsidP="00F6039F">
            <w:pPr>
              <w:jc w:val="center"/>
              <w:rPr>
                <w:rFonts w:cs="Times New Roman"/>
                <w:sz w:val="22"/>
                <w:szCs w:val="22"/>
              </w:rPr>
            </w:pPr>
            <w:r w:rsidRPr="00C01409">
              <w:rPr>
                <w:rFonts w:cs="Times New Roman"/>
                <w:sz w:val="18"/>
                <w:szCs w:val="18"/>
              </w:rPr>
              <w:t>Приоритетный, Рейтинг-50</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баллы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tcPr>
          <w:p w:rsidR="00141282" w:rsidRPr="00C01409" w:rsidRDefault="00141282" w:rsidP="00F6039F">
            <w:pPr>
              <w:widowControl w:val="0"/>
              <w:suppressAutoHyphens/>
              <w:jc w:val="center"/>
              <w:rPr>
                <w:rFonts w:cs="Times New Roman"/>
                <w:sz w:val="22"/>
                <w:szCs w:val="22"/>
              </w:rPr>
            </w:pP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Рейтинг-45</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2641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tcPr>
          <w:p w:rsidR="00141282" w:rsidRPr="00C01409"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Тыс.кв.м</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2,9</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6,7</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5,4</w:t>
            </w:r>
          </w:p>
        </w:tc>
        <w:tc>
          <w:tcPr>
            <w:tcW w:w="1134" w:type="dxa"/>
          </w:tcPr>
          <w:p w:rsidR="00141282" w:rsidRPr="00C01409" w:rsidRDefault="00141282" w:rsidP="00F6039F">
            <w:pPr>
              <w:jc w:val="center"/>
              <w:rPr>
                <w:rFonts w:cs="Times New Roman"/>
                <w:sz w:val="22"/>
                <w:szCs w:val="22"/>
              </w:rPr>
            </w:pPr>
            <w:r>
              <w:rPr>
                <w:rFonts w:cs="Times New Roman"/>
                <w:sz w:val="22"/>
                <w:szCs w:val="22"/>
              </w:rPr>
              <w:t>3,7</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trHeight w:val="99"/>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Посадочные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tcPr>
          <w:p w:rsidR="00141282" w:rsidRPr="00C01409" w:rsidRDefault="00141282" w:rsidP="00F6039F">
            <w:pPr>
              <w:jc w:val="center"/>
              <w:rPr>
                <w:rFonts w:cs="Times New Roman"/>
                <w:sz w:val="22"/>
                <w:szCs w:val="22"/>
              </w:rPr>
            </w:pPr>
            <w:r>
              <w:rPr>
                <w:rFonts w:cs="Times New Roman"/>
                <w:sz w:val="22"/>
                <w:szCs w:val="22"/>
              </w:rPr>
              <w:t>50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02</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Рабочие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30</w:t>
            </w:r>
          </w:p>
        </w:tc>
        <w:tc>
          <w:tcPr>
            <w:tcW w:w="1134" w:type="dxa"/>
          </w:tcPr>
          <w:p w:rsidR="00141282" w:rsidRPr="00C01409" w:rsidRDefault="00141282" w:rsidP="00F6039F">
            <w:pPr>
              <w:jc w:val="center"/>
              <w:rPr>
                <w:rFonts w:cs="Times New Roman"/>
                <w:sz w:val="22"/>
                <w:szCs w:val="22"/>
              </w:rPr>
            </w:pPr>
            <w:r>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55</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57</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57</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03</w:t>
            </w:r>
          </w:p>
        </w:tc>
      </w:tr>
      <w:tr w:rsidR="00141282" w:rsidRPr="00C01409" w:rsidTr="00141282">
        <w:trPr>
          <w:jc w:val="center"/>
        </w:trPr>
        <w:tc>
          <w:tcPr>
            <w:tcW w:w="704" w:type="dxa"/>
          </w:tcPr>
          <w:p w:rsidR="00141282" w:rsidRPr="00C01409" w:rsidRDefault="00141282" w:rsidP="00F6039F">
            <w:pPr>
              <w:jc w:val="center"/>
              <w:rPr>
                <w:rFonts w:cs="Times New Roman"/>
                <w:sz w:val="22"/>
                <w:szCs w:val="22"/>
              </w:rPr>
            </w:pPr>
            <w:r w:rsidRPr="00C01409">
              <w:rPr>
                <w:rFonts w:cs="Times New Roman"/>
                <w:sz w:val="22"/>
                <w:szCs w:val="22"/>
              </w:rPr>
              <w:t>4.6.</w:t>
            </w:r>
          </w:p>
        </w:tc>
        <w:tc>
          <w:tcPr>
            <w:tcW w:w="3267" w:type="dxa"/>
          </w:tcPr>
          <w:p w:rsidR="00141282" w:rsidRPr="00C01409" w:rsidRDefault="00141282"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141282" w:rsidRPr="00C01409" w:rsidRDefault="00141282" w:rsidP="00F6039F">
            <w:pPr>
              <w:rPr>
                <w:rFonts w:cs="Times New Roman"/>
                <w:sz w:val="22"/>
                <w:szCs w:val="22"/>
              </w:rPr>
            </w:pPr>
            <w:r w:rsidRPr="00C01409">
              <w:rPr>
                <w:rFonts w:cs="Times New Roman"/>
                <w:sz w:val="22"/>
                <w:szCs w:val="22"/>
              </w:rPr>
              <w:t xml:space="preserve"> </w:t>
            </w:r>
          </w:p>
        </w:tc>
        <w:tc>
          <w:tcPr>
            <w:tcW w:w="1978" w:type="dxa"/>
          </w:tcPr>
          <w:p w:rsidR="00141282" w:rsidRPr="00C01409" w:rsidRDefault="00141282"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85</w:t>
            </w:r>
          </w:p>
        </w:tc>
        <w:tc>
          <w:tcPr>
            <w:tcW w:w="1134" w:type="dxa"/>
          </w:tcPr>
          <w:p w:rsidR="00141282" w:rsidRPr="00C01409" w:rsidRDefault="00141282" w:rsidP="00F6039F">
            <w:pPr>
              <w:jc w:val="center"/>
              <w:rPr>
                <w:rFonts w:cs="Times New Roman"/>
                <w:sz w:val="22"/>
                <w:szCs w:val="22"/>
              </w:rPr>
            </w:pPr>
            <w:r>
              <w:rPr>
                <w:rFonts w:cs="Times New Roman"/>
                <w:sz w:val="22"/>
                <w:szCs w:val="22"/>
              </w:rPr>
              <w:t>95</w:t>
            </w:r>
          </w:p>
        </w:tc>
        <w:tc>
          <w:tcPr>
            <w:tcW w:w="1134" w:type="dxa"/>
            <w:gridSpan w:val="2"/>
          </w:tcPr>
          <w:p w:rsidR="00141282" w:rsidRPr="00C01409" w:rsidRDefault="00141282" w:rsidP="00F6039F">
            <w:pPr>
              <w:jc w:val="center"/>
              <w:rPr>
                <w:rFonts w:cs="Times New Roman"/>
                <w:sz w:val="22"/>
                <w:szCs w:val="22"/>
              </w:rPr>
            </w:pPr>
          </w:p>
        </w:tc>
        <w:tc>
          <w:tcPr>
            <w:tcW w:w="1134" w:type="dxa"/>
          </w:tcPr>
          <w:p w:rsidR="00141282" w:rsidRPr="00C01409" w:rsidRDefault="00141282" w:rsidP="00F6039F">
            <w:pPr>
              <w:jc w:val="center"/>
              <w:rPr>
                <w:rFonts w:cs="Times New Roman"/>
                <w:sz w:val="22"/>
                <w:szCs w:val="22"/>
              </w:rPr>
            </w:pPr>
          </w:p>
        </w:tc>
        <w:tc>
          <w:tcPr>
            <w:tcW w:w="993" w:type="dxa"/>
          </w:tcPr>
          <w:p w:rsidR="00141282" w:rsidRPr="00C01409" w:rsidRDefault="00141282" w:rsidP="00F6039F">
            <w:pPr>
              <w:widowControl w:val="0"/>
              <w:suppressAutoHyphens/>
              <w:jc w:val="center"/>
              <w:rPr>
                <w:sz w:val="22"/>
                <w:szCs w:val="22"/>
              </w:rPr>
            </w:pPr>
          </w:p>
        </w:tc>
        <w:tc>
          <w:tcPr>
            <w:tcW w:w="850" w:type="dxa"/>
          </w:tcPr>
          <w:p w:rsidR="00141282" w:rsidRPr="00C01409" w:rsidRDefault="00141282" w:rsidP="00F6039F">
            <w:pPr>
              <w:widowControl w:val="0"/>
              <w:suppressAutoHyphens/>
              <w:jc w:val="center"/>
              <w:rPr>
                <w:rFonts w:cs="Times New Roman"/>
                <w:sz w:val="22"/>
                <w:szCs w:val="22"/>
              </w:rPr>
            </w:pPr>
            <w:r w:rsidRPr="00C01409">
              <w:rPr>
                <w:sz w:val="22"/>
                <w:szCs w:val="22"/>
              </w:rPr>
              <w:t>03</w:t>
            </w:r>
          </w:p>
        </w:tc>
      </w:tr>
      <w:tr w:rsidR="00141282" w:rsidRPr="00C01409" w:rsidTr="00141282">
        <w:trPr>
          <w:trHeight w:val="2883"/>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141282" w:rsidRPr="00C01409" w:rsidRDefault="00141282"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36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34</w:t>
            </w:r>
          </w:p>
        </w:tc>
        <w:tc>
          <w:tcPr>
            <w:tcW w:w="1276" w:type="dxa"/>
            <w:gridSpan w:val="2"/>
          </w:tcPr>
          <w:p w:rsidR="00141282" w:rsidRPr="00C01409" w:rsidRDefault="00141282" w:rsidP="00F6039F">
            <w:pPr>
              <w:jc w:val="center"/>
              <w:rPr>
                <w:rFonts w:cs="Times New Roman"/>
                <w:sz w:val="22"/>
                <w:szCs w:val="22"/>
              </w:rPr>
            </w:pPr>
            <w:r>
              <w:rPr>
                <w:rFonts w:cs="Times New Roman"/>
                <w:sz w:val="22"/>
                <w:szCs w:val="22"/>
              </w:rPr>
              <w:t>32</w:t>
            </w:r>
          </w:p>
        </w:tc>
        <w:tc>
          <w:tcPr>
            <w:tcW w:w="992" w:type="dxa"/>
          </w:tcPr>
          <w:p w:rsidR="00141282" w:rsidRPr="00C01409" w:rsidRDefault="00D5049F" w:rsidP="00F6039F">
            <w:pPr>
              <w:jc w:val="center"/>
              <w:rPr>
                <w:rFonts w:cs="Times New Roman"/>
                <w:sz w:val="22"/>
                <w:szCs w:val="22"/>
              </w:rPr>
            </w:pPr>
            <w:r>
              <w:rPr>
                <w:rFonts w:cs="Times New Roman"/>
                <w:sz w:val="22"/>
                <w:szCs w:val="22"/>
              </w:rPr>
              <w:t>33</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8676B5"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Default="00141282" w:rsidP="00F6039F">
            <w:pPr>
              <w:widowControl w:val="0"/>
              <w:suppressAutoHyphens/>
              <w:jc w:val="center"/>
              <w:rPr>
                <w:rFonts w:cs="Times New Roman"/>
                <w:sz w:val="22"/>
                <w:szCs w:val="22"/>
              </w:rPr>
            </w:pPr>
            <w:r w:rsidRPr="008676B5">
              <w:rPr>
                <w:rFonts w:cs="Times New Roman"/>
                <w:sz w:val="22"/>
                <w:szCs w:val="22"/>
              </w:rPr>
              <w:t>04</w:t>
            </w:r>
          </w:p>
          <w:p w:rsidR="00141282" w:rsidRPr="00C01409" w:rsidRDefault="00141282"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*ОДС - объекты дорожного и придорожного сервиса (автосервис, шиномонтаж, автомойка, автокомплекс, автотехцентр)</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485"/>
      </w:tblGrid>
      <w:tr w:rsidR="00310E68" w:rsidRPr="00C01409" w:rsidTr="00D45BDD">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тыс.рублей</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Идн = Ид / Чн, 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Идн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r w:rsidRPr="00C01409">
              <w:rPr>
                <w:rFonts w:cs="Times New Roman"/>
                <w:sz w:val="22"/>
                <w:szCs w:val="22"/>
              </w:rPr>
              <w:t>Чн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ПЗ = Пинд.р*100/(Пинд.о-Пинд.и), 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Пинд.р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r w:rsidRPr="00C01409">
              <w:rPr>
                <w:rFonts w:cs="Times New Roman"/>
                <w:sz w:val="22"/>
                <w:szCs w:val="22"/>
              </w:rPr>
              <w:t>Пинд.о. – общая площадь индустриального парка;</w:t>
            </w:r>
          </w:p>
          <w:p w:rsidR="00310E68" w:rsidRPr="00C01409" w:rsidRDefault="00310E68" w:rsidP="00F6039F">
            <w:pPr>
              <w:widowControl w:val="0"/>
              <w:suppressAutoHyphens/>
              <w:rPr>
                <w:rFonts w:cs="Times New Roman"/>
                <w:sz w:val="22"/>
                <w:szCs w:val="22"/>
              </w:rPr>
            </w:pPr>
            <w:r w:rsidRPr="00C01409">
              <w:rPr>
                <w:rFonts w:cs="Times New Roman"/>
                <w:sz w:val="22"/>
                <w:szCs w:val="22"/>
              </w:rPr>
              <w:t>Пинд.и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промзон, а также АО «Корпорация развития Московской области», ГИС 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промзон, а также АО «Корпорация развития Московской области», а так же сведения ЕАС ПИП.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w:t>
            </w:r>
            <w:r w:rsidRPr="00C01409">
              <w:rPr>
                <w:rFonts w:cs="Times New Roman"/>
                <w:sz w:val="22"/>
                <w:szCs w:val="22"/>
              </w:rPr>
              <w:lastRenderedPageBreak/>
              <w:t>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lastRenderedPageBreak/>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Производительность труда в базовых несырьевых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1. Настоящая методика определяет расчет показателя "Производительность труда в базовых несырьевых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2. Под базовыми несырьевыми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Росстандарта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821976"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с учетом индекса дефлятора i-й базовой несырьевой отрасли (</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 сумме среднесписочной численности работников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r w:rsidRPr="00C01409">
              <w:rPr>
                <w:rFonts w:ascii="Times New Roman" w:hAnsi="Times New Roman" w:cs="Times New Roman"/>
                <w:szCs w:val="22"/>
                <w:vertAlign w:val="subscript"/>
                <w:lang w:val="en-US"/>
              </w:rPr>
              <w:t>i</w:t>
            </w:r>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r w:rsidRPr="00C01409">
              <w:rPr>
                <w:rFonts w:ascii="Times New Roman" w:hAnsi="Times New Roman" w:cs="Times New Roman"/>
                <w:szCs w:val="22"/>
                <w:vertAlign w:val="subscript"/>
                <w:lang w:val="en-US"/>
              </w:rPr>
              <w:t>i</w:t>
            </w:r>
            <w:r w:rsidRPr="00C01409">
              <w:rPr>
                <w:rFonts w:ascii="Times New Roman" w:hAnsi="Times New Roman" w:cs="Times New Roman"/>
                <w:szCs w:val="22"/>
              </w:rPr>
              <w:t xml:space="preserve"> – индекс цен, рассчитанный для каждой базовой несырьевой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r w:rsidRPr="00C01409">
              <w:rPr>
                <w:rFonts w:ascii="Times New Roman" w:hAnsi="Times New Roman" w:cs="Times New Roman"/>
                <w:szCs w:val="22"/>
                <w:vertAlign w:val="subscript"/>
                <w:lang w:val="en-US"/>
              </w:rPr>
              <w:t>i</w:t>
            </w:r>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ОПi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ЧРi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тыс.рублей</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Ио-Ифп-Ифб</w:t>
            </w:r>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Ифп</w:t>
            </w:r>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r w:rsidRPr="00C01409">
              <w:rPr>
                <w:rFonts w:cs="Times New Roman"/>
                <w:sz w:val="22"/>
                <w:szCs w:val="22"/>
              </w:rPr>
              <w:t>Ифб</w:t>
            </w:r>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(n-1)*100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=Ио-Ифп-Ифб</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r w:rsidRPr="00C01409">
              <w:rPr>
                <w:rFonts w:cs="Times New Roman"/>
                <w:sz w:val="22"/>
                <w:szCs w:val="22"/>
              </w:rPr>
              <w:t>Ифп – Объем инвестиций инфраструктурных монополий (федеральные проекты);</w:t>
            </w:r>
          </w:p>
          <w:p w:rsidR="00310E68" w:rsidRPr="00C01409" w:rsidRDefault="00310E68" w:rsidP="00F6039F">
            <w:pPr>
              <w:rPr>
                <w:rFonts w:cs="Times New Roman"/>
                <w:sz w:val="22"/>
                <w:szCs w:val="22"/>
              </w:rPr>
            </w:pPr>
            <w:r w:rsidRPr="00C01409">
              <w:rPr>
                <w:rFonts w:cs="Times New Roman"/>
                <w:sz w:val="22"/>
                <w:szCs w:val="22"/>
              </w:rPr>
              <w:t xml:space="preserve">Ифб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(n-1)-Ифп (n-1)-Ифб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r w:rsidRPr="00C01409">
              <w:rPr>
                <w:rFonts w:cs="Times New Roman"/>
                <w:sz w:val="22"/>
                <w:szCs w:val="22"/>
              </w:rPr>
              <w:t>Ифп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lastRenderedPageBreak/>
              <w:t>Ифб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D45BDD">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нт</w:t>
            </w:r>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r w:rsidRPr="00C01409">
              <w:rPr>
                <w:rFonts w:ascii="Times New Roman" w:hAnsi="Times New Roman" w:cs="Times New Roman"/>
                <w:szCs w:val="22"/>
              </w:rPr>
              <w:t>Э</w:t>
            </w:r>
            <w:r w:rsidRPr="00C01409">
              <w:rPr>
                <w:rFonts w:ascii="Times New Roman" w:hAnsi="Times New Roman" w:cs="Times New Roman"/>
                <w:szCs w:val="22"/>
                <w:vertAlign w:val="subscript"/>
              </w:rPr>
              <w:t>одс</w:t>
            </w:r>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r w:rsidRPr="00C01409">
              <w:rPr>
                <w:rFonts w:ascii="Times New Roman" w:hAnsi="Times New Roman" w:cs="Times New Roman"/>
                <w:szCs w:val="22"/>
              </w:rPr>
              <w:t>Э</w:t>
            </w:r>
            <w:r w:rsidRPr="00C01409">
              <w:rPr>
                <w:rFonts w:ascii="Times New Roman" w:hAnsi="Times New Roman" w:cs="Times New Roman"/>
                <w:szCs w:val="22"/>
                <w:vertAlign w:val="subscript"/>
              </w:rPr>
              <w:t xml:space="preserve">дс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∑обт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r w:rsidRPr="00C01409">
              <w:rPr>
                <w:sz w:val="22"/>
                <w:szCs w:val="22"/>
              </w:rPr>
              <w:t>Дсмп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∑смп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∑суб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объем привлечения в отчетном году субподрядчиков и соисполнителей из числа СМП и СОНО к исполнению контрактов, заключенных при осуществлении закупок, в  извещениях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Д</w:t>
            </w:r>
            <w:r w:rsidRPr="00332832">
              <w:rPr>
                <w:rFonts w:eastAsia="Calibri" w:cs="Times New Roman"/>
                <w:sz w:val="22"/>
                <w:szCs w:val="22"/>
                <w:vertAlign w:val="subscript"/>
                <w:lang w:eastAsia="en-US"/>
              </w:rPr>
              <w:t xml:space="preserve">цк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О</w:t>
            </w:r>
            <w:r w:rsidRPr="00332832">
              <w:rPr>
                <w:rFonts w:eastAsia="Calibri" w:cs="Times New Roman"/>
                <w:sz w:val="22"/>
                <w:szCs w:val="22"/>
                <w:vertAlign w:val="subscript"/>
                <w:lang w:eastAsia="en-US"/>
              </w:rPr>
              <w:t xml:space="preserve">эдс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Расчет Э</w:t>
            </w:r>
            <w:r w:rsidRPr="00332832">
              <w:rPr>
                <w:rFonts w:eastAsia="Calibri" w:cs="Times New Roman"/>
                <w:sz w:val="22"/>
                <w:szCs w:val="22"/>
                <w:vertAlign w:val="subscript"/>
                <w:lang w:eastAsia="en-US"/>
              </w:rPr>
              <w:t xml:space="preserve">дс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r w:rsidRPr="00C01409">
              <w:rPr>
                <w:sz w:val="22"/>
                <w:szCs w:val="22"/>
                <w:vertAlign w:val="subscript"/>
                <w:lang w:val="en-US"/>
              </w:rPr>
              <w:t>k</w:t>
            </w:r>
            <w:r w:rsidRPr="00C01409">
              <w:rPr>
                <w:sz w:val="22"/>
                <w:szCs w:val="22"/>
                <w:vertAlign w:val="superscript"/>
                <w:lang w:val="en-US"/>
              </w:rPr>
              <w:t>i</w:t>
            </w:r>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485" w:type="dxa"/>
          </w:tcPr>
          <w:p w:rsidR="00310E68" w:rsidRPr="00C01409" w:rsidRDefault="00310E68" w:rsidP="00F6039F">
            <w:pPr>
              <w:rPr>
                <w:sz w:val="22"/>
                <w:szCs w:val="22"/>
              </w:rPr>
            </w:pPr>
            <w:r w:rsidRPr="00C01409">
              <w:rPr>
                <w:sz w:val="22"/>
                <w:szCs w:val="22"/>
              </w:rPr>
              <w:t>K = Т1 + Т2 + ... Тi,</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r w:rsidRPr="00C01409">
              <w:rPr>
                <w:sz w:val="22"/>
                <w:szCs w:val="22"/>
              </w:rPr>
              <w:t>Тi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Требование (Т1 - Тi):</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работников»  </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821976"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r w:rsidRPr="00C01409">
              <w:rPr>
                <w:rFonts w:cs="Times New Roman"/>
                <w:sz w:val="22"/>
                <w:szCs w:val="22"/>
              </w:rPr>
              <w:t>Пр</w:t>
            </w:r>
            <w:r w:rsidRPr="00C01409">
              <w:rPr>
                <w:rFonts w:cs="Times New Roman"/>
                <w:sz w:val="22"/>
                <w:szCs w:val="22"/>
                <w:vertAlign w:val="subscript"/>
              </w:rPr>
              <w:t xml:space="preserve">к  </w:t>
            </w:r>
            <w:r w:rsidRPr="00C01409">
              <w:rPr>
                <w:rFonts w:cs="Times New Roman"/>
                <w:sz w:val="22"/>
                <w:szCs w:val="22"/>
              </w:rPr>
              <w:t>–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микропредприятий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821976"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485" w:type="dxa"/>
          </w:tcPr>
          <w:p w:rsidR="00310E68" w:rsidRPr="00C01409" w:rsidRDefault="00310E68" w:rsidP="00F6039F">
            <w:pPr>
              <w:rPr>
                <w:rFonts w:cs="Times New Roman"/>
                <w:sz w:val="22"/>
                <w:szCs w:val="22"/>
              </w:rPr>
            </w:pPr>
            <w:r w:rsidRPr="00C01409">
              <w:rPr>
                <w:rFonts w:cs="Times New Roman"/>
                <w:sz w:val="22"/>
                <w:szCs w:val="22"/>
              </w:rPr>
              <w:t>Ч = ССЧРюл + ССЧРип + ЮЛвс + ИПмсп + Пнпд,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ССЧРюл - сумма среднесписочной численности работников юридических лиц;</w:t>
            </w:r>
          </w:p>
          <w:p w:rsidR="00310E68" w:rsidRPr="00C01409" w:rsidRDefault="00310E68" w:rsidP="00F6039F">
            <w:pPr>
              <w:rPr>
                <w:rFonts w:cs="Times New Roman"/>
                <w:sz w:val="22"/>
                <w:szCs w:val="22"/>
              </w:rPr>
            </w:pPr>
            <w:r w:rsidRPr="00C01409">
              <w:rPr>
                <w:rFonts w:cs="Times New Roman"/>
                <w:sz w:val="22"/>
                <w:szCs w:val="22"/>
              </w:rPr>
              <w:t>ССЧРип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r w:rsidRPr="00C01409">
              <w:rPr>
                <w:rFonts w:cs="Times New Roman"/>
                <w:sz w:val="22"/>
                <w:szCs w:val="22"/>
              </w:rPr>
              <w:t>ЮЛвс - вновь созданные юридические лица;</w:t>
            </w:r>
          </w:p>
          <w:p w:rsidR="00310E68" w:rsidRPr="00C01409" w:rsidRDefault="00310E68" w:rsidP="00F6039F">
            <w:pPr>
              <w:rPr>
                <w:rFonts w:cs="Times New Roman"/>
                <w:sz w:val="22"/>
                <w:szCs w:val="22"/>
              </w:rPr>
            </w:pPr>
            <w:r w:rsidRPr="00C01409">
              <w:rPr>
                <w:rFonts w:cs="Times New Roman"/>
                <w:sz w:val="22"/>
                <w:szCs w:val="22"/>
              </w:rPr>
              <w:t>ИПмсп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Пнпд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310E68" w:rsidRPr="00C01409" w:rsidRDefault="00310E68" w:rsidP="00F6039F">
            <w:pPr>
              <w:jc w:val="center"/>
            </w:pPr>
            <w:r w:rsidRPr="00C01409">
              <w:t>человек</w:t>
            </w:r>
          </w:p>
        </w:tc>
        <w:tc>
          <w:tcPr>
            <w:tcW w:w="948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Кв.м.на 1000 чел</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Оторг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Sторг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r w:rsidRPr="00C01409">
              <w:rPr>
                <w:rFonts w:eastAsia="Calibri" w:cs="Times New Roman"/>
                <w:sz w:val="22"/>
                <w:szCs w:val="18"/>
              </w:rPr>
              <w:t>Чсред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Т – значение показателя «Ликвидация незаконных нестационарных торговых объектов» в квартал (далее – Показатель), баллы;*</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баллов.**</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r w:rsidRPr="00C01409">
              <w:rPr>
                <w:rFonts w:cs="Times New Roman"/>
                <w:sz w:val="21"/>
                <w:szCs w:val="21"/>
              </w:rPr>
              <w:t>Ст = 900 – Т – А – О + J, где:</w:t>
            </w:r>
          </w:p>
          <w:p w:rsidR="00310E68" w:rsidRPr="00C01409" w:rsidRDefault="00310E68" w:rsidP="00F6039F">
            <w:pPr>
              <w:rPr>
                <w:rFonts w:cs="Times New Roman"/>
                <w:sz w:val="21"/>
                <w:szCs w:val="21"/>
              </w:rPr>
            </w:pPr>
            <w:r w:rsidRPr="00C01409">
              <w:rPr>
                <w:rFonts w:cs="Times New Roman"/>
                <w:sz w:val="21"/>
                <w:szCs w:val="21"/>
              </w:rPr>
              <w:t xml:space="preserve">Ст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баллов.*</w:t>
            </w:r>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lastRenderedPageBreak/>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11) Соответствие внешнего вида фасадов. Отделочные материалы, их колористика и текстура;</w:t>
            </w:r>
          </w:p>
          <w:p w:rsidR="00310E68" w:rsidRPr="00C01409" w:rsidRDefault="00310E68" w:rsidP="00F6039F">
            <w:pPr>
              <w:rPr>
                <w:rFonts w:cs="Times New Roman"/>
                <w:sz w:val="21"/>
                <w:szCs w:val="21"/>
              </w:rPr>
            </w:pPr>
            <w:r w:rsidRPr="00C01409">
              <w:rPr>
                <w:rFonts w:cs="Times New Roman"/>
                <w:sz w:val="21"/>
                <w:szCs w:val="21"/>
              </w:rPr>
              <w:t>12) Соответствие внешнего вида кровли. Материалы-цветоносители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lastRenderedPageBreak/>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Тыс.кв.м</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lastRenderedPageBreak/>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48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r w:rsidRPr="00C01409">
              <w:rPr>
                <w:rFonts w:eastAsia="Calibri"/>
                <w:sz w:val="22"/>
                <w:szCs w:val="22"/>
              </w:rPr>
              <w:t xml:space="preserve">одс – ОДС, соответствующие </w:t>
            </w:r>
            <w:r w:rsidRPr="00C01409">
              <w:rPr>
                <w:rFonts w:cs="Times New Roman"/>
                <w:sz w:val="22"/>
                <w:szCs w:val="22"/>
              </w:rPr>
              <w:t xml:space="preserve">требованиям, нормам и стандартам действующего законодательства, </w:t>
            </w:r>
            <w:r w:rsidRPr="00C01409">
              <w:rPr>
                <w:rFonts w:eastAsia="Calibri"/>
                <w:sz w:val="22"/>
                <w:szCs w:val="22"/>
              </w:rPr>
              <w:t>ед.;</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r w:rsidRPr="00C01409">
              <w:rPr>
                <w:rFonts w:eastAsia="Calibri"/>
                <w:sz w:val="22"/>
                <w:szCs w:val="22"/>
              </w:rPr>
              <w:t>одс – общее количество ОДС на территории городского округа, шт;</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r w:rsidRPr="00C01409">
              <w:rPr>
                <w:rFonts w:eastAsia="Calibri"/>
                <w:sz w:val="22"/>
                <w:szCs w:val="22"/>
              </w:rPr>
              <w:t xml:space="preserve">одс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*ОДС - объекты дорожного и придорожного сервиса (автосервис, шиномонтаж, автомойка, автокомплекс, автотехцентр)</w:t>
            </w:r>
          </w:p>
        </w:tc>
      </w:tr>
      <w:tr w:rsidR="00310E68" w:rsidRPr="00C01409" w:rsidTr="00D45BDD">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r w:rsidRPr="00C01409">
              <w:rPr>
                <w:rFonts w:eastAsia="Calibri" w:cs="Times New Roman"/>
                <w:sz w:val="22"/>
                <w:szCs w:val="18"/>
              </w:rPr>
              <w:t>зпп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Озпп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r w:rsidRPr="00C01409">
              <w:rPr>
                <w:rFonts w:eastAsia="Calibri" w:cs="Times New Roman"/>
                <w:sz w:val="22"/>
                <w:szCs w:val="18"/>
              </w:rPr>
              <w:t xml:space="preserve">Ообщий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тп.)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lastRenderedPageBreak/>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w:t>
      </w:r>
      <w:r w:rsidR="00D45BDD">
        <w:rPr>
          <w:rFonts w:cs="Times New Roman"/>
        </w:rPr>
        <w:t>5</w:t>
      </w:r>
      <w:r w:rsidRPr="00C01409">
        <w:rPr>
          <w:rFonts w:cs="Times New Roman"/>
        </w:rPr>
        <w:t xml:space="preserve"> годы</w:t>
      </w:r>
    </w:p>
    <w:p w:rsidR="00310E68" w:rsidRDefault="00310E68" w:rsidP="00310E68">
      <w:pPr>
        <w:tabs>
          <w:tab w:val="left" w:pos="8508"/>
        </w:tabs>
        <w:snapToGrid w:val="0"/>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295"/>
      </w:tblGrid>
      <w:tr w:rsidR="008F7C09" w:rsidRPr="002618A2" w:rsidTr="00C00A6A">
        <w:tc>
          <w:tcPr>
            <w:tcW w:w="4478" w:type="dxa"/>
          </w:tcPr>
          <w:p w:rsidR="008F7C09" w:rsidRPr="002618A2" w:rsidRDefault="008F7C09"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8F7C09" w:rsidRPr="002618A2" w:rsidRDefault="008F7C09"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45BDD" w:rsidRPr="002618A2" w:rsidRDefault="00D45BD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D45BDD" w:rsidRPr="002618A2" w:rsidRDefault="008F7C09" w:rsidP="008F7C09">
            <w:pPr>
              <w:pStyle w:val="ConsPlusNormal"/>
              <w:jc w:val="center"/>
              <w:rPr>
                <w:rFonts w:ascii="Times New Roman" w:hAnsi="Times New Roman" w:cs="Times New Roman"/>
              </w:rPr>
            </w:pPr>
            <w:r>
              <w:rPr>
                <w:rFonts w:ascii="Times New Roman" w:hAnsi="Times New Roman" w:cs="Times New Roman"/>
              </w:rPr>
              <w:t>2025 год</w:t>
            </w:r>
          </w:p>
        </w:tc>
        <w:tc>
          <w:tcPr>
            <w:tcW w:w="1295"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C01409" w:rsidRDefault="008F7C09" w:rsidP="008F7C0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5" w:type="dxa"/>
            <w:vMerge w:val="restart"/>
          </w:tcPr>
          <w:p w:rsidR="00D45BDD" w:rsidRPr="002618A2" w:rsidRDefault="00D45BDD"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8F7C09" w:rsidRDefault="008F7C09" w:rsidP="008F7C09">
            <w:pPr>
              <w:jc w:val="center"/>
              <w:rPr>
                <w:rFonts w:cs="Times New Roman"/>
                <w:sz w:val="22"/>
                <w:szCs w:val="22"/>
              </w:rPr>
            </w:pPr>
            <w:r w:rsidRPr="008F7C09">
              <w:rPr>
                <w:rFonts w:cs="Times New Roman"/>
                <w:sz w:val="22"/>
                <w:szCs w:val="22"/>
              </w:rPr>
              <w:t>0,00</w:t>
            </w:r>
          </w:p>
        </w:tc>
        <w:tc>
          <w:tcPr>
            <w:tcW w:w="1295" w:type="dxa"/>
            <w:vMerge/>
          </w:tcPr>
          <w:p w:rsidR="00D45BDD" w:rsidRPr="002618A2" w:rsidRDefault="00D45BDD"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млн.руб.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Victoria Industrial Park.</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1.Строительство производственно-складского комплекса по производству нержавеющих труб и полотенцесушителей ООО «Терминус».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«Билд Фаст Текнолоджи».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4. Строительство производственного здания по производству травмобезопасных резиновых покрытий для детских и спортивных площадок ООО «Производственная компания «ЭКО-ВторРесурс».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«Иванисово»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7. Модернизация производства участка порезки рулонов ООО «Русинокс».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58"/>
        <w:gridCol w:w="1274"/>
        <w:gridCol w:w="995"/>
        <w:gridCol w:w="990"/>
        <w:gridCol w:w="991"/>
        <w:gridCol w:w="990"/>
        <w:gridCol w:w="990"/>
        <w:gridCol w:w="990"/>
        <w:gridCol w:w="1013"/>
        <w:gridCol w:w="997"/>
        <w:gridCol w:w="1556"/>
        <w:gridCol w:w="990"/>
      </w:tblGrid>
      <w:tr w:rsidR="001E41D8" w:rsidRPr="00C01409" w:rsidTr="00A24F7D">
        <w:trPr>
          <w:trHeight w:val="20"/>
        </w:trPr>
        <w:tc>
          <w:tcPr>
            <w:tcW w:w="584" w:type="dxa"/>
            <w:vMerge w:val="restart"/>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 п/п</w:t>
            </w:r>
          </w:p>
        </w:tc>
        <w:tc>
          <w:tcPr>
            <w:tcW w:w="3658"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Мероприятие подпрограммы</w:t>
            </w:r>
          </w:p>
        </w:tc>
        <w:tc>
          <w:tcPr>
            <w:tcW w:w="1274"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995"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0" w:type="dxa"/>
            <w:vMerge w:val="restart"/>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 </w:t>
            </w:r>
          </w:p>
          <w:p w:rsidR="001E41D8" w:rsidRPr="00C01409" w:rsidRDefault="001E41D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971" w:type="dxa"/>
            <w:gridSpan w:val="6"/>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56"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0"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1E41D8" w:rsidRPr="00C01409" w:rsidTr="00A24F7D">
        <w:trPr>
          <w:trHeight w:val="20"/>
        </w:trPr>
        <w:tc>
          <w:tcPr>
            <w:tcW w:w="584" w:type="dxa"/>
            <w:vMerge/>
            <w:vAlign w:val="center"/>
            <w:hideMark/>
          </w:tcPr>
          <w:p w:rsidR="001E41D8" w:rsidRPr="00C01409" w:rsidRDefault="001E41D8" w:rsidP="00F6039F">
            <w:pPr>
              <w:rPr>
                <w:rFonts w:cs="Times New Roman"/>
                <w:sz w:val="16"/>
                <w:szCs w:val="16"/>
              </w:rPr>
            </w:pPr>
          </w:p>
        </w:tc>
        <w:tc>
          <w:tcPr>
            <w:tcW w:w="3658" w:type="dxa"/>
            <w:vMerge/>
            <w:vAlign w:val="center"/>
            <w:hideMark/>
          </w:tcPr>
          <w:p w:rsidR="001E41D8" w:rsidRPr="00C01409" w:rsidRDefault="001E41D8" w:rsidP="00F6039F">
            <w:pPr>
              <w:rPr>
                <w:rFonts w:cs="Times New Roman"/>
                <w:sz w:val="16"/>
                <w:szCs w:val="16"/>
              </w:rPr>
            </w:pPr>
          </w:p>
        </w:tc>
        <w:tc>
          <w:tcPr>
            <w:tcW w:w="1274" w:type="dxa"/>
            <w:vMerge/>
            <w:vAlign w:val="center"/>
            <w:hideMark/>
          </w:tcPr>
          <w:p w:rsidR="001E41D8" w:rsidRPr="00C01409" w:rsidRDefault="001E41D8" w:rsidP="00F6039F">
            <w:pPr>
              <w:rPr>
                <w:rFonts w:cs="Times New Roman"/>
                <w:sz w:val="16"/>
                <w:szCs w:val="16"/>
              </w:rPr>
            </w:pPr>
          </w:p>
        </w:tc>
        <w:tc>
          <w:tcPr>
            <w:tcW w:w="995"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c>
          <w:tcPr>
            <w:tcW w:w="991"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2020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2021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2022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2023 год</w:t>
            </w:r>
          </w:p>
        </w:tc>
        <w:tc>
          <w:tcPr>
            <w:tcW w:w="1013"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2024 год</w:t>
            </w:r>
          </w:p>
        </w:tc>
        <w:tc>
          <w:tcPr>
            <w:tcW w:w="997" w:type="dxa"/>
            <w:vAlign w:val="center"/>
          </w:tcPr>
          <w:p w:rsidR="001E41D8" w:rsidRDefault="001E41D8" w:rsidP="00F6039F">
            <w:pPr>
              <w:rPr>
                <w:rFonts w:cs="Times New Roman"/>
                <w:sz w:val="16"/>
                <w:szCs w:val="16"/>
              </w:rPr>
            </w:pPr>
          </w:p>
          <w:p w:rsidR="001E41D8" w:rsidRDefault="00A24F7D" w:rsidP="003A6A3A">
            <w:pPr>
              <w:jc w:val="center"/>
              <w:rPr>
                <w:rFonts w:cs="Times New Roman"/>
                <w:sz w:val="16"/>
                <w:szCs w:val="16"/>
              </w:rPr>
            </w:pPr>
            <w:r>
              <w:rPr>
                <w:rFonts w:cs="Times New Roman"/>
                <w:sz w:val="16"/>
                <w:szCs w:val="16"/>
              </w:rPr>
              <w:t>2025 г</w:t>
            </w:r>
            <w:r w:rsidR="003A6A3A" w:rsidRPr="00C01409">
              <w:rPr>
                <w:rFonts w:cs="Times New Roman"/>
                <w:sz w:val="16"/>
                <w:szCs w:val="16"/>
              </w:rPr>
              <w:t>од</w:t>
            </w:r>
          </w:p>
          <w:p w:rsidR="001E41D8" w:rsidRPr="00C01409" w:rsidRDefault="001E41D8" w:rsidP="00F6039F">
            <w:pPr>
              <w:rPr>
                <w:rFonts w:cs="Times New Roman"/>
                <w:sz w:val="16"/>
                <w:szCs w:val="16"/>
              </w:rPr>
            </w:pPr>
          </w:p>
        </w:tc>
        <w:tc>
          <w:tcPr>
            <w:tcW w:w="1556"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r>
      <w:tr w:rsidR="001E41D8" w:rsidRPr="00C01409" w:rsidTr="00A24F7D">
        <w:trPr>
          <w:trHeight w:val="20"/>
        </w:trPr>
        <w:tc>
          <w:tcPr>
            <w:tcW w:w="584" w:type="dxa"/>
            <w:shd w:val="clear" w:color="auto" w:fill="auto"/>
            <w:noWrap/>
            <w:hideMark/>
          </w:tcPr>
          <w:p w:rsidR="001E41D8" w:rsidRPr="00C01409" w:rsidRDefault="001E41D8" w:rsidP="00F6039F">
            <w:pPr>
              <w:jc w:val="center"/>
              <w:rPr>
                <w:rFonts w:cs="Times New Roman"/>
                <w:i/>
                <w:iCs/>
                <w:sz w:val="16"/>
                <w:szCs w:val="16"/>
              </w:rPr>
            </w:pPr>
            <w:r w:rsidRPr="00C01409">
              <w:rPr>
                <w:rFonts w:cs="Times New Roman"/>
                <w:i/>
                <w:iCs/>
                <w:sz w:val="16"/>
                <w:szCs w:val="16"/>
              </w:rPr>
              <w:t>1.</w:t>
            </w:r>
          </w:p>
        </w:tc>
        <w:tc>
          <w:tcPr>
            <w:tcW w:w="3658" w:type="dxa"/>
            <w:shd w:val="clear" w:color="auto" w:fill="auto"/>
            <w:hideMark/>
          </w:tcPr>
          <w:p w:rsidR="001E41D8" w:rsidRDefault="001E41D8" w:rsidP="00F6039F">
            <w:pPr>
              <w:rPr>
                <w:rFonts w:cs="Times New Roman"/>
                <w:i/>
                <w:iCs/>
                <w:sz w:val="16"/>
                <w:szCs w:val="16"/>
              </w:rPr>
            </w:pPr>
            <w:r w:rsidRPr="00C01409">
              <w:rPr>
                <w:rFonts w:cs="Times New Roman"/>
                <w:i/>
                <w:iCs/>
                <w:sz w:val="16"/>
                <w:szCs w:val="16"/>
              </w:rPr>
              <w:t xml:space="preserve">Основное мероприятие 02. </w:t>
            </w:r>
          </w:p>
          <w:p w:rsidR="001E41D8" w:rsidRPr="00C01409" w:rsidRDefault="001E41D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4" w:type="dxa"/>
            <w:shd w:val="clear" w:color="auto" w:fill="auto"/>
            <w:noWrap/>
            <w:hideMark/>
          </w:tcPr>
          <w:p w:rsidR="001E41D8" w:rsidRPr="00C01409" w:rsidRDefault="001E41D8" w:rsidP="00A24F7D">
            <w:pPr>
              <w:jc w:val="center"/>
              <w:rPr>
                <w:rFonts w:cs="Times New Roman"/>
                <w:i/>
                <w:iCs/>
                <w:sz w:val="16"/>
                <w:szCs w:val="16"/>
              </w:rPr>
            </w:pPr>
            <w:r w:rsidRPr="00C01409">
              <w:rPr>
                <w:rFonts w:cs="Times New Roman"/>
                <w:i/>
                <w:iCs/>
                <w:sz w:val="16"/>
                <w:szCs w:val="16"/>
              </w:rPr>
              <w:t>2020-202</w:t>
            </w:r>
            <w:r w:rsidR="00A24F7D">
              <w:rPr>
                <w:rFonts w:cs="Times New Roman"/>
                <w:i/>
                <w:iCs/>
                <w:sz w:val="16"/>
                <w:szCs w:val="16"/>
              </w:rPr>
              <w:t>5</w:t>
            </w:r>
          </w:p>
        </w:tc>
        <w:tc>
          <w:tcPr>
            <w:tcW w:w="995" w:type="dxa"/>
            <w:shd w:val="clear" w:color="auto" w:fill="auto"/>
            <w:hideMark/>
          </w:tcPr>
          <w:p w:rsidR="001E41D8" w:rsidRPr="00C01409" w:rsidRDefault="001E41D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990" w:type="dxa"/>
            <w:shd w:val="clear" w:color="auto" w:fill="auto"/>
            <w:noWrap/>
            <w:hideMark/>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976"/>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1.1.</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4" w:type="dxa"/>
            <w:shd w:val="clear" w:color="auto" w:fill="auto"/>
            <w:noWrap/>
            <w:hideMark/>
          </w:tcPr>
          <w:p w:rsidR="001E41D8" w:rsidRPr="00C01409" w:rsidRDefault="001E41D8" w:rsidP="00C00A6A">
            <w:pPr>
              <w:jc w:val="center"/>
              <w:rPr>
                <w:rFonts w:cs="Times New Roman"/>
                <w:sz w:val="16"/>
                <w:szCs w:val="16"/>
              </w:rPr>
            </w:pPr>
            <w:r w:rsidRPr="00C01409">
              <w:rPr>
                <w:rFonts w:cs="Times New Roman"/>
                <w:sz w:val="16"/>
                <w:szCs w:val="16"/>
              </w:rPr>
              <w:t>2020-202</w:t>
            </w:r>
            <w:r w:rsidR="00C00A6A">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976"/>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02.02.</w:t>
            </w:r>
          </w:p>
          <w:p w:rsidR="001E41D8" w:rsidRPr="00C01409" w:rsidRDefault="001E41D8"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1.3.</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выставочно-ярмарочных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4" w:type="dxa"/>
            <w:shd w:val="clear" w:color="auto" w:fill="auto"/>
            <w:noWrap/>
            <w:hideMark/>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1.4.</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 xml:space="preserve">Заключение договоров купли-продажи (долгосрочной аренды) земельных </w:t>
            </w:r>
            <w:r w:rsidRPr="00C01409">
              <w:rPr>
                <w:rFonts w:cs="Times New Roman"/>
                <w:sz w:val="16"/>
                <w:szCs w:val="16"/>
              </w:rPr>
              <w:lastRenderedPageBreak/>
              <w:t>участков/помещений для организации производственной деятельности</w:t>
            </w:r>
          </w:p>
        </w:tc>
        <w:tc>
          <w:tcPr>
            <w:tcW w:w="1274" w:type="dxa"/>
            <w:shd w:val="clear" w:color="auto" w:fill="auto"/>
            <w:noWrap/>
            <w:hideMark/>
          </w:tcPr>
          <w:p w:rsidR="001E41D8" w:rsidRPr="00C01409" w:rsidRDefault="001E41D8" w:rsidP="00A24F7D">
            <w:pPr>
              <w:jc w:val="center"/>
              <w:rPr>
                <w:rFonts w:cs="Times New Roman"/>
                <w:sz w:val="16"/>
                <w:szCs w:val="16"/>
              </w:rPr>
            </w:pPr>
            <w:r w:rsidRPr="00C01409">
              <w:rPr>
                <w:rFonts w:cs="Times New Roman"/>
                <w:sz w:val="16"/>
                <w:szCs w:val="16"/>
              </w:rPr>
              <w:lastRenderedPageBreak/>
              <w:t>2020-202</w:t>
            </w:r>
            <w:r w:rsidR="00A24F7D">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Комитет имущественных отношений </w:t>
            </w:r>
            <w:r w:rsidRPr="00C01409">
              <w:rPr>
                <w:rFonts w:cs="Times New Roman"/>
                <w:sz w:val="16"/>
                <w:szCs w:val="16"/>
              </w:rPr>
              <w:lastRenderedPageBreak/>
              <w:t>Администрации городского округа Электросталь Московской области</w:t>
            </w:r>
          </w:p>
        </w:tc>
        <w:tc>
          <w:tcPr>
            <w:tcW w:w="990" w:type="dxa"/>
            <w:vAlign w:val="center"/>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Увеличение объемов инвестици</w:t>
            </w:r>
            <w:r w:rsidRPr="00C01409">
              <w:rPr>
                <w:rFonts w:cs="Times New Roman"/>
                <w:sz w:val="16"/>
                <w:szCs w:val="16"/>
              </w:rPr>
              <w:lastRenderedPageBreak/>
              <w:t>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lastRenderedPageBreak/>
              <w:t>1.5.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02.05.</w:t>
            </w:r>
          </w:p>
          <w:p w:rsidR="001E41D8" w:rsidRPr="00C01409" w:rsidRDefault="001E41D8"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Мероприятие 02.06. </w:t>
            </w:r>
          </w:p>
          <w:p w:rsidR="001E41D8" w:rsidRPr="00C01409" w:rsidRDefault="001E41D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i/>
                <w:sz w:val="16"/>
                <w:szCs w:val="16"/>
              </w:rPr>
            </w:pPr>
            <w:r w:rsidRPr="00C01409">
              <w:rPr>
                <w:rFonts w:cs="Times New Roman"/>
                <w:i/>
                <w:sz w:val="16"/>
                <w:szCs w:val="16"/>
              </w:rPr>
              <w:t>2.</w:t>
            </w:r>
          </w:p>
        </w:tc>
        <w:tc>
          <w:tcPr>
            <w:tcW w:w="3658" w:type="dxa"/>
            <w:shd w:val="clear" w:color="auto" w:fill="auto"/>
          </w:tcPr>
          <w:p w:rsidR="001E41D8" w:rsidRDefault="001E41D8" w:rsidP="00F6039F">
            <w:pPr>
              <w:rPr>
                <w:rFonts w:cs="Times New Roman"/>
                <w:i/>
                <w:sz w:val="16"/>
                <w:szCs w:val="16"/>
              </w:rPr>
            </w:pPr>
            <w:r w:rsidRPr="00C01409">
              <w:rPr>
                <w:rFonts w:cs="Times New Roman"/>
                <w:i/>
                <w:sz w:val="16"/>
                <w:szCs w:val="16"/>
              </w:rPr>
              <w:t xml:space="preserve">Основное мероприятие 07. </w:t>
            </w:r>
          </w:p>
          <w:p w:rsidR="001E41D8" w:rsidRPr="00C01409" w:rsidRDefault="001E41D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4" w:type="dxa"/>
            <w:shd w:val="clear" w:color="auto" w:fill="auto"/>
            <w:noWrap/>
          </w:tcPr>
          <w:p w:rsidR="001E41D8" w:rsidRPr="00C01409" w:rsidRDefault="001E41D8" w:rsidP="00A24F7D">
            <w:pPr>
              <w:jc w:val="center"/>
              <w:rPr>
                <w:rFonts w:cs="Times New Roman"/>
                <w:i/>
                <w:sz w:val="16"/>
                <w:szCs w:val="16"/>
              </w:rPr>
            </w:pPr>
            <w:r w:rsidRPr="00C01409">
              <w:rPr>
                <w:rFonts w:cs="Times New Roman"/>
                <w:i/>
                <w:sz w:val="16"/>
                <w:szCs w:val="16"/>
              </w:rPr>
              <w:t>2020-202</w:t>
            </w:r>
            <w:r w:rsidR="00A24F7D">
              <w:rPr>
                <w:rFonts w:cs="Times New Roman"/>
                <w:i/>
                <w:sz w:val="16"/>
                <w:szCs w:val="16"/>
              </w:rPr>
              <w:t>5</w:t>
            </w:r>
          </w:p>
        </w:tc>
        <w:tc>
          <w:tcPr>
            <w:tcW w:w="995" w:type="dxa"/>
            <w:shd w:val="clear" w:color="auto" w:fill="auto"/>
          </w:tcPr>
          <w:p w:rsidR="001E41D8" w:rsidRPr="00C01409" w:rsidRDefault="001E41D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990" w:type="dxa"/>
            <w:vAlign w:val="center"/>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2.1.</w:t>
            </w:r>
          </w:p>
        </w:tc>
        <w:tc>
          <w:tcPr>
            <w:tcW w:w="3658" w:type="dxa"/>
            <w:shd w:val="clear" w:color="auto" w:fill="auto"/>
          </w:tcPr>
          <w:p w:rsidR="001E41D8" w:rsidRDefault="001E41D8" w:rsidP="00F6039F">
            <w:pPr>
              <w:rPr>
                <w:rFonts w:cs="Times New Roman"/>
                <w:sz w:val="16"/>
                <w:szCs w:val="16"/>
              </w:rPr>
            </w:pPr>
            <w:r w:rsidRPr="00C01409">
              <w:rPr>
                <w:rFonts w:cs="Times New Roman"/>
                <w:sz w:val="16"/>
                <w:szCs w:val="16"/>
              </w:rPr>
              <w:t xml:space="preserve">Мероприятие 07.01. </w:t>
            </w:r>
          </w:p>
          <w:p w:rsidR="001E41D8" w:rsidRPr="00C01409" w:rsidRDefault="001E41D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07.02.</w:t>
            </w:r>
          </w:p>
          <w:p w:rsidR="001E41D8" w:rsidRPr="00C01409" w:rsidRDefault="001E41D8" w:rsidP="00F6039F">
            <w:pPr>
              <w:rPr>
                <w:rFonts w:cs="Times New Roman"/>
                <w:sz w:val="16"/>
                <w:szCs w:val="16"/>
              </w:rPr>
            </w:pPr>
            <w:r w:rsidRPr="00C01409">
              <w:rPr>
                <w:rFonts w:cs="Times New Roman"/>
                <w:sz w:val="16"/>
                <w:szCs w:val="16"/>
              </w:rPr>
              <w:t>Проведение выставок вакансий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2.3.</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07.03.</w:t>
            </w:r>
          </w:p>
          <w:p w:rsidR="001E41D8" w:rsidRPr="00C01409" w:rsidRDefault="001E41D8" w:rsidP="00F6039F">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новых рабочих мест</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2.4</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07.04.</w:t>
            </w:r>
          </w:p>
          <w:p w:rsidR="001E41D8" w:rsidRPr="00C01409" w:rsidRDefault="001E41D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w:t>
            </w:r>
            <w:r w:rsidRPr="00C01409">
              <w:rPr>
                <w:rFonts w:cs="Times New Roman"/>
                <w:sz w:val="16"/>
                <w:szCs w:val="16"/>
              </w:rPr>
              <w:lastRenderedPageBreak/>
              <w:t>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lastRenderedPageBreak/>
              <w:t xml:space="preserve">Создание новых рабочих </w:t>
            </w:r>
            <w:r w:rsidRPr="00C01409">
              <w:rPr>
                <w:rFonts w:cs="Times New Roman"/>
                <w:sz w:val="16"/>
                <w:szCs w:val="16"/>
              </w:rPr>
              <w:lastRenderedPageBreak/>
              <w:t>мест, увеличение объема инвестиций, рост объемов отгруженной продукции</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lastRenderedPageBreak/>
              <w:t>2.5.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07.05.</w:t>
            </w:r>
          </w:p>
          <w:p w:rsidR="001E41D8" w:rsidRPr="00C01409" w:rsidRDefault="001E41D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07.06.</w:t>
            </w:r>
          </w:p>
          <w:p w:rsidR="001E41D8" w:rsidRPr="00C01409" w:rsidRDefault="001E41D8" w:rsidP="00F6039F">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2.7.</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07.07.</w:t>
            </w:r>
          </w:p>
          <w:p w:rsidR="001E41D8" w:rsidRPr="00C01409" w:rsidRDefault="001E41D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1E41D8" w:rsidRPr="00C01409" w:rsidRDefault="001E41D8" w:rsidP="00F6039F">
            <w:pPr>
              <w:rPr>
                <w:rFonts w:cs="Times New Roman"/>
                <w:sz w:val="16"/>
                <w:szCs w:val="16"/>
              </w:rPr>
            </w:pP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1E41D8" w:rsidRPr="00C01409" w:rsidTr="00A24F7D">
        <w:trPr>
          <w:trHeight w:val="20"/>
        </w:trPr>
        <w:tc>
          <w:tcPr>
            <w:tcW w:w="584" w:type="dxa"/>
            <w:vAlign w:val="center"/>
            <w:hideMark/>
          </w:tcPr>
          <w:p w:rsidR="001E41D8" w:rsidRPr="00C01409" w:rsidRDefault="001E41D8" w:rsidP="00F6039F">
            <w:pPr>
              <w:rPr>
                <w:rFonts w:cs="Times New Roman"/>
                <w:sz w:val="16"/>
                <w:szCs w:val="16"/>
              </w:rPr>
            </w:pPr>
          </w:p>
        </w:tc>
        <w:tc>
          <w:tcPr>
            <w:tcW w:w="3658" w:type="dxa"/>
            <w:hideMark/>
          </w:tcPr>
          <w:p w:rsidR="001E41D8" w:rsidRPr="00C01409" w:rsidRDefault="001E41D8" w:rsidP="00F6039F">
            <w:pPr>
              <w:rPr>
                <w:rFonts w:cs="Times New Roman"/>
                <w:sz w:val="16"/>
                <w:szCs w:val="16"/>
              </w:rPr>
            </w:pPr>
            <w:r w:rsidRPr="00C01409">
              <w:rPr>
                <w:rFonts w:cs="Times New Roman"/>
                <w:sz w:val="16"/>
                <w:szCs w:val="16"/>
              </w:rPr>
              <w:t>Всего по Подпрограмме</w:t>
            </w:r>
          </w:p>
        </w:tc>
        <w:tc>
          <w:tcPr>
            <w:tcW w:w="1274" w:type="dxa"/>
            <w:hideMark/>
          </w:tcPr>
          <w:p w:rsidR="001E41D8" w:rsidRPr="00C01409" w:rsidRDefault="001E41D8" w:rsidP="00F6039F">
            <w:pPr>
              <w:rPr>
                <w:rFonts w:cs="Times New Roman"/>
                <w:sz w:val="16"/>
                <w:szCs w:val="16"/>
              </w:rPr>
            </w:pPr>
          </w:p>
        </w:tc>
        <w:tc>
          <w:tcPr>
            <w:tcW w:w="995" w:type="dxa"/>
            <w:hideMark/>
          </w:tcPr>
          <w:p w:rsidR="001E41D8" w:rsidRPr="00C01409" w:rsidRDefault="001E41D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0" w:type="dxa"/>
            <w:vAlign w:val="center"/>
            <w:hideMark/>
          </w:tcPr>
          <w:p w:rsidR="001E41D8" w:rsidRPr="00C01409" w:rsidRDefault="001E41D8" w:rsidP="00F6039F">
            <w:pPr>
              <w:jc w:val="center"/>
            </w:pPr>
            <w:r w:rsidRPr="00C01409">
              <w:rPr>
                <w:rFonts w:cs="Times New Roman"/>
                <w:sz w:val="16"/>
                <w:szCs w:val="16"/>
              </w:rPr>
              <w:t>0,0</w:t>
            </w:r>
          </w:p>
        </w:tc>
        <w:tc>
          <w:tcPr>
            <w:tcW w:w="991"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1013"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7" w:type="dxa"/>
            <w:vAlign w:val="center"/>
          </w:tcPr>
          <w:p w:rsidR="001E41D8" w:rsidRPr="00C01409" w:rsidRDefault="00A24F7D" w:rsidP="00A24F7D">
            <w:pPr>
              <w:jc w:val="center"/>
              <w:rPr>
                <w:rFonts w:cs="Times New Roman"/>
                <w:sz w:val="16"/>
                <w:szCs w:val="16"/>
              </w:rPr>
            </w:pPr>
            <w:r>
              <w:rPr>
                <w:rFonts w:cs="Times New Roman"/>
                <w:sz w:val="16"/>
                <w:szCs w:val="16"/>
              </w:rPr>
              <w:t>0,0</w:t>
            </w:r>
          </w:p>
        </w:tc>
        <w:tc>
          <w:tcPr>
            <w:tcW w:w="1556" w:type="dxa"/>
            <w:vAlign w:val="center"/>
            <w:hideMark/>
          </w:tcPr>
          <w:p w:rsidR="001E41D8" w:rsidRPr="00C01409" w:rsidRDefault="001E41D8" w:rsidP="00F6039F">
            <w:pPr>
              <w:rPr>
                <w:rFonts w:cs="Times New Roman"/>
                <w:sz w:val="16"/>
                <w:szCs w:val="16"/>
              </w:rPr>
            </w:pPr>
          </w:p>
        </w:tc>
        <w:tc>
          <w:tcPr>
            <w:tcW w:w="990" w:type="dxa"/>
            <w:vAlign w:val="center"/>
            <w:hideMark/>
          </w:tcPr>
          <w:p w:rsidR="001E41D8" w:rsidRPr="00C01409" w:rsidRDefault="001E41D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w:t>
      </w:r>
      <w:r w:rsidR="00A24F7D">
        <w:rPr>
          <w:rFonts w:cs="Times New Roman"/>
          <w:sz w:val="22"/>
          <w:szCs w:val="22"/>
        </w:rPr>
        <w:t>5</w:t>
      </w:r>
      <w:r w:rsidRPr="00C01409">
        <w:rPr>
          <w:rFonts w:cs="Times New Roman"/>
          <w:sz w:val="22"/>
          <w:szCs w:val="22"/>
        </w:rPr>
        <w:t xml:space="preserve"> годы</w:t>
      </w:r>
    </w:p>
    <w:p w:rsidR="00310E68" w:rsidRDefault="00310E68" w:rsidP="00310E68">
      <w:pPr>
        <w:jc w:val="center"/>
        <w:rPr>
          <w:rFonts w:cs="Times New Roman"/>
          <w:sz w:val="22"/>
          <w:szCs w:val="22"/>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209"/>
        <w:gridCol w:w="1276"/>
        <w:gridCol w:w="1719"/>
      </w:tblGrid>
      <w:tr w:rsidR="00A24F7D" w:rsidRPr="002618A2" w:rsidTr="00C00A6A">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A24F7D" w:rsidRPr="002618A2" w:rsidRDefault="00A24F7D"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A24F7D" w:rsidRPr="002618A2" w:rsidTr="00A24F7D">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A24F7D" w:rsidRPr="002618A2" w:rsidRDefault="00A24F7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09"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A24F7D" w:rsidRPr="002618A2" w:rsidRDefault="00A24F7D" w:rsidP="00A24F7D">
            <w:pPr>
              <w:pStyle w:val="ConsPlusNormal"/>
              <w:jc w:val="center"/>
              <w:rPr>
                <w:rFonts w:ascii="Times New Roman" w:hAnsi="Times New Roman" w:cs="Times New Roman"/>
              </w:rPr>
            </w:pPr>
            <w:r>
              <w:rPr>
                <w:rFonts w:ascii="Times New Roman" w:hAnsi="Times New Roman" w:cs="Times New Roman"/>
              </w:rPr>
              <w:t>2025 год</w:t>
            </w:r>
          </w:p>
        </w:tc>
        <w:tc>
          <w:tcPr>
            <w:tcW w:w="1719"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val="restart"/>
          </w:tcPr>
          <w:p w:rsidR="00A24F7D" w:rsidRPr="002618A2" w:rsidRDefault="00A24F7D" w:rsidP="00A24F7D">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tcPr>
          <w:p w:rsidR="00A24F7D" w:rsidRPr="002618A2" w:rsidRDefault="00A24F7D" w:rsidP="00A24F7D">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 по капитальному, текущему ремонтов объектов капитального строительства, а также на ремонт дорог, где НМЦК формируется по сметам в ТЕРах,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C0140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AD721A"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r w:rsidRPr="00AD721A">
        <w:rPr>
          <w:rStyle w:val="aa"/>
          <w:rFonts w:ascii="Times New Roman" w:hAnsi="Times New Roman" w:cs="Times New Roman"/>
          <w:color w:val="auto"/>
          <w:sz w:val="24"/>
          <w:szCs w:val="24"/>
        </w:rPr>
        <w:t>http://el-zakupki.ru/standart-razvitiya-konkurentsii</w:t>
      </w:r>
      <w:r w:rsidRPr="00AD721A">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C01409">
        <w:rPr>
          <w:rFonts w:ascii="Times New Roman" w:hAnsi="Times New Roman" w:cs="Times New Roman"/>
          <w:sz w:val="24"/>
          <w:szCs w:val="24"/>
        </w:rPr>
        <w:lastRenderedPageBreak/>
        <w:t>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710"/>
        <w:gridCol w:w="1843"/>
        <w:gridCol w:w="1701"/>
      </w:tblGrid>
      <w:tr w:rsidR="00653AFA" w:rsidRPr="00C01409" w:rsidTr="00C00A6A">
        <w:trPr>
          <w:trHeight w:val="422"/>
        </w:trPr>
        <w:tc>
          <w:tcPr>
            <w:tcW w:w="591"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6" w:type="dxa"/>
            <w:gridSpan w:val="12"/>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84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701"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A24F7D" w:rsidRPr="00C01409" w:rsidTr="00653AFA">
        <w:trPr>
          <w:trHeight w:val="428"/>
        </w:trPr>
        <w:tc>
          <w:tcPr>
            <w:tcW w:w="591" w:type="dxa"/>
            <w:vMerge/>
            <w:vAlign w:val="center"/>
            <w:hideMark/>
          </w:tcPr>
          <w:p w:rsidR="00A24F7D" w:rsidRPr="00C01409" w:rsidRDefault="00A24F7D" w:rsidP="00F6039F">
            <w:pPr>
              <w:rPr>
                <w:rFonts w:cs="Times New Roman"/>
                <w:sz w:val="16"/>
                <w:szCs w:val="16"/>
              </w:rPr>
            </w:pPr>
          </w:p>
        </w:tc>
        <w:tc>
          <w:tcPr>
            <w:tcW w:w="3234" w:type="dxa"/>
            <w:vMerge/>
            <w:vAlign w:val="center"/>
            <w:hideMark/>
          </w:tcPr>
          <w:p w:rsidR="00A24F7D" w:rsidRPr="00C01409" w:rsidRDefault="00A24F7D" w:rsidP="00F6039F">
            <w:pPr>
              <w:rPr>
                <w:rFonts w:cs="Times New Roman"/>
                <w:sz w:val="16"/>
                <w:szCs w:val="16"/>
              </w:rPr>
            </w:pPr>
          </w:p>
        </w:tc>
        <w:tc>
          <w:tcPr>
            <w:tcW w:w="1103" w:type="dxa"/>
            <w:vMerge/>
            <w:vAlign w:val="center"/>
            <w:hideMark/>
          </w:tcPr>
          <w:p w:rsidR="00A24F7D" w:rsidRPr="00C01409" w:rsidRDefault="00A24F7D" w:rsidP="00F6039F">
            <w:pPr>
              <w:rPr>
                <w:rFonts w:cs="Times New Roman"/>
                <w:sz w:val="16"/>
                <w:szCs w:val="16"/>
              </w:rPr>
            </w:pPr>
          </w:p>
        </w:tc>
        <w:tc>
          <w:tcPr>
            <w:tcW w:w="1590" w:type="dxa"/>
            <w:vMerge/>
            <w:vAlign w:val="center"/>
            <w:hideMark/>
          </w:tcPr>
          <w:p w:rsidR="00A24F7D" w:rsidRPr="00C01409" w:rsidRDefault="00A24F7D" w:rsidP="00F6039F">
            <w:pPr>
              <w:rPr>
                <w:rFonts w:cs="Times New Roman"/>
                <w:sz w:val="16"/>
                <w:szCs w:val="16"/>
              </w:rPr>
            </w:pPr>
          </w:p>
        </w:tc>
        <w:tc>
          <w:tcPr>
            <w:tcW w:w="992" w:type="dxa"/>
            <w:gridSpan w:val="2"/>
            <w:vMerge/>
            <w:vAlign w:val="center"/>
            <w:hideMark/>
          </w:tcPr>
          <w:p w:rsidR="00A24F7D" w:rsidRPr="00C01409" w:rsidRDefault="00A24F7D" w:rsidP="00F6039F">
            <w:pPr>
              <w:rPr>
                <w:rFonts w:cs="Times New Roman"/>
                <w:sz w:val="16"/>
                <w:szCs w:val="16"/>
              </w:rPr>
            </w:pPr>
          </w:p>
        </w:tc>
        <w:tc>
          <w:tcPr>
            <w:tcW w:w="707"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2024 год</w:t>
            </w:r>
          </w:p>
        </w:tc>
        <w:tc>
          <w:tcPr>
            <w:tcW w:w="710" w:type="dxa"/>
          </w:tcPr>
          <w:p w:rsidR="00A24F7D"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1843" w:type="dxa"/>
            <w:vMerge/>
            <w:vAlign w:val="center"/>
            <w:hideMark/>
          </w:tcPr>
          <w:p w:rsidR="00A24F7D" w:rsidRPr="00C01409" w:rsidRDefault="00A24F7D" w:rsidP="00F6039F">
            <w:pPr>
              <w:rPr>
                <w:rFonts w:cs="Times New Roman"/>
                <w:sz w:val="16"/>
                <w:szCs w:val="16"/>
              </w:rPr>
            </w:pPr>
          </w:p>
        </w:tc>
        <w:tc>
          <w:tcPr>
            <w:tcW w:w="1701" w:type="dxa"/>
            <w:vMerge/>
            <w:vAlign w:val="center"/>
            <w:hideMark/>
          </w:tcPr>
          <w:p w:rsidR="00A24F7D" w:rsidRPr="00C01409" w:rsidRDefault="00A24F7D" w:rsidP="00F6039F">
            <w:pPr>
              <w:rPr>
                <w:rFonts w:cs="Times New Roman"/>
                <w:sz w:val="16"/>
                <w:szCs w:val="16"/>
              </w:rPr>
            </w:pPr>
          </w:p>
        </w:tc>
      </w:tr>
      <w:tr w:rsidR="00653AFA" w:rsidRPr="00C01409" w:rsidTr="00C00A6A">
        <w:trPr>
          <w:trHeight w:val="20"/>
        </w:trPr>
        <w:tc>
          <w:tcPr>
            <w:tcW w:w="591" w:type="dxa"/>
            <w:shd w:val="clear" w:color="auto" w:fill="auto"/>
            <w:noWrap/>
            <w:hideMark/>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653AFA" w:rsidRDefault="00653AFA" w:rsidP="00F6039F">
            <w:pPr>
              <w:rPr>
                <w:rFonts w:cs="Times New Roman"/>
                <w:i/>
                <w:iCs/>
                <w:sz w:val="16"/>
                <w:szCs w:val="16"/>
              </w:rPr>
            </w:pPr>
            <w:r w:rsidRPr="00C01409">
              <w:rPr>
                <w:rFonts w:cs="Times New Roman"/>
                <w:i/>
                <w:iCs/>
                <w:sz w:val="16"/>
                <w:szCs w:val="16"/>
              </w:rPr>
              <w:t xml:space="preserve">Основное мероприятие 01. </w:t>
            </w:r>
          </w:p>
          <w:p w:rsidR="00653AFA" w:rsidRPr="00C01409" w:rsidRDefault="00653AFA"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590" w:type="dxa"/>
            <w:shd w:val="clear" w:color="auto" w:fill="auto"/>
            <w:hideMark/>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A24F7D" w:rsidRPr="00C01409" w:rsidTr="00653AFA">
        <w:trPr>
          <w:trHeight w:val="65"/>
        </w:trPr>
        <w:tc>
          <w:tcPr>
            <w:tcW w:w="591"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Мероприятие 01.01.</w:t>
            </w:r>
          </w:p>
          <w:p w:rsidR="00A24F7D" w:rsidRPr="00C01409" w:rsidRDefault="00A24F7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10" w:type="dxa"/>
          </w:tcPr>
          <w:p w:rsidR="00A24F7D" w:rsidRPr="00C01409" w:rsidRDefault="00A24F7D" w:rsidP="00F6039F">
            <w:pPr>
              <w:jc w:val="center"/>
              <w:rPr>
                <w:rFonts w:cs="Times New Roman"/>
                <w:sz w:val="16"/>
                <w:szCs w:val="16"/>
              </w:rPr>
            </w:pPr>
          </w:p>
        </w:tc>
        <w:tc>
          <w:tcPr>
            <w:tcW w:w="1843"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53AFA" w:rsidRPr="00C01409" w:rsidTr="00C00A6A">
        <w:trPr>
          <w:trHeight w:val="273"/>
        </w:trPr>
        <w:tc>
          <w:tcPr>
            <w:tcW w:w="591" w:type="dxa"/>
            <w:shd w:val="clear" w:color="auto" w:fill="auto"/>
            <w:noWrap/>
          </w:tcPr>
          <w:p w:rsidR="00653AFA" w:rsidRPr="0032338A" w:rsidRDefault="00653AFA" w:rsidP="00F6039F">
            <w:pPr>
              <w:jc w:val="center"/>
              <w:rPr>
                <w:rFonts w:cs="Times New Roman"/>
                <w:sz w:val="16"/>
                <w:szCs w:val="16"/>
              </w:rPr>
            </w:pPr>
            <w:r>
              <w:rPr>
                <w:rFonts w:cs="Times New Roman"/>
                <w:sz w:val="16"/>
                <w:szCs w:val="16"/>
              </w:rPr>
              <w:t>1.2.</w:t>
            </w:r>
          </w:p>
        </w:tc>
        <w:tc>
          <w:tcPr>
            <w:tcW w:w="3234" w:type="dxa"/>
            <w:shd w:val="clear" w:color="auto" w:fill="auto"/>
          </w:tcPr>
          <w:p w:rsidR="00653AFA" w:rsidRPr="0032338A" w:rsidRDefault="00653AFA"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653AFA" w:rsidRPr="0032338A" w:rsidRDefault="00653AFA" w:rsidP="00F6039F">
            <w:pPr>
              <w:rPr>
                <w:rFonts w:cs="Times New Roman"/>
                <w:sz w:val="16"/>
                <w:szCs w:val="16"/>
              </w:rPr>
            </w:pPr>
            <w:r w:rsidRPr="0032338A">
              <w:rPr>
                <w:rFonts w:eastAsia="Calibri" w:cs="Times New Roman"/>
                <w:sz w:val="16"/>
                <w:szCs w:val="16"/>
                <w:lang w:eastAsia="en-US"/>
              </w:rPr>
              <w:t xml:space="preserve">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w:t>
            </w:r>
            <w:r w:rsidRPr="0032338A">
              <w:rPr>
                <w:rFonts w:eastAsia="Calibri" w:cs="Times New Roman"/>
                <w:sz w:val="16"/>
                <w:szCs w:val="16"/>
                <w:lang w:eastAsia="en-US"/>
              </w:rPr>
              <w:lastRenderedPageBreak/>
              <w:t>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653AFA" w:rsidRPr="0032338A" w:rsidRDefault="00653AFA" w:rsidP="00653AFA">
            <w:pPr>
              <w:jc w:val="center"/>
              <w:rPr>
                <w:rFonts w:cs="Times New Roman"/>
                <w:sz w:val="16"/>
                <w:szCs w:val="16"/>
              </w:rPr>
            </w:pPr>
            <w:r>
              <w:rPr>
                <w:rFonts w:cs="Times New Roman"/>
                <w:sz w:val="16"/>
                <w:szCs w:val="16"/>
              </w:rPr>
              <w:lastRenderedPageBreak/>
              <w:t>2022-2025</w:t>
            </w:r>
          </w:p>
        </w:tc>
        <w:tc>
          <w:tcPr>
            <w:tcW w:w="1590" w:type="dxa"/>
            <w:shd w:val="clear" w:color="auto" w:fill="auto"/>
          </w:tcPr>
          <w:p w:rsidR="00653AFA" w:rsidRPr="00C01409" w:rsidRDefault="00653AFA"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2814" w:type="dxa"/>
            <w:gridSpan w:val="7"/>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 xml:space="preserve">- доли стоимости контрактов, заключенных с единственным поставщиком по несостоявшимся </w:t>
            </w:r>
            <w:r w:rsidRPr="0032338A">
              <w:rPr>
                <w:rFonts w:eastAsia="Calibri" w:cs="Times New Roman"/>
                <w:sz w:val="16"/>
                <w:szCs w:val="16"/>
                <w:lang w:eastAsia="en-US"/>
              </w:rPr>
              <w:lastRenderedPageBreak/>
              <w:t>закупкам, в общем объеме закупок.</w:t>
            </w:r>
          </w:p>
          <w:p w:rsidR="00653AFA" w:rsidRPr="0032338A" w:rsidRDefault="00653AFA"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653AFA" w:rsidRPr="00C01409" w:rsidRDefault="00653AFA" w:rsidP="00F6039F">
            <w:pPr>
              <w:jc w:val="center"/>
              <w:rPr>
                <w:rFonts w:cs="Times New Roman"/>
                <w:i/>
                <w:sz w:val="16"/>
                <w:szCs w:val="16"/>
              </w:rPr>
            </w:pPr>
            <w:r w:rsidRPr="0032338A">
              <w:rPr>
                <w:rFonts w:eastAsia="Calibri" w:cs="Times New Roman"/>
                <w:sz w:val="16"/>
                <w:szCs w:val="16"/>
                <w:lang w:eastAsia="en-US"/>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r>
      <w:tr w:rsidR="00653AFA" w:rsidRPr="00C01409" w:rsidTr="00C00A6A">
        <w:trPr>
          <w:trHeight w:val="273"/>
        </w:trPr>
        <w:tc>
          <w:tcPr>
            <w:tcW w:w="59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lastRenderedPageBreak/>
              <w:t>2.</w:t>
            </w:r>
          </w:p>
        </w:tc>
        <w:tc>
          <w:tcPr>
            <w:tcW w:w="3234" w:type="dxa"/>
            <w:shd w:val="clear" w:color="auto" w:fill="auto"/>
            <w:hideMark/>
          </w:tcPr>
          <w:p w:rsidR="00653AFA" w:rsidRDefault="00653AFA" w:rsidP="00F6039F">
            <w:pPr>
              <w:rPr>
                <w:rFonts w:cs="Times New Roman"/>
                <w:i/>
                <w:sz w:val="16"/>
                <w:szCs w:val="16"/>
              </w:rPr>
            </w:pPr>
            <w:r w:rsidRPr="00C01409">
              <w:rPr>
                <w:rFonts w:cs="Times New Roman"/>
                <w:i/>
                <w:sz w:val="16"/>
                <w:szCs w:val="16"/>
              </w:rPr>
              <w:t xml:space="preserve">Основное мероприятие 02. </w:t>
            </w:r>
          </w:p>
          <w:p w:rsidR="00653AFA" w:rsidRPr="00C01409" w:rsidRDefault="00653AFA"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hideMark/>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71"/>
        </w:trPr>
        <w:tc>
          <w:tcPr>
            <w:tcW w:w="591" w:type="dxa"/>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Мероприятие 02.01.</w:t>
            </w:r>
          </w:p>
          <w:p w:rsidR="00653AFA" w:rsidRPr="00C01409" w:rsidRDefault="00653AF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pPr>
            <w:r w:rsidRPr="00C01409">
              <w:rPr>
                <w:rFonts w:cs="Times New Roman"/>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A24F7D" w:rsidRPr="00C01409" w:rsidTr="00653AFA">
        <w:trPr>
          <w:trHeight w:val="903"/>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A24F7D" w:rsidRPr="00C01409" w:rsidRDefault="00A24F7D" w:rsidP="00F317CA">
            <w:pPr>
              <w:jc w:val="center"/>
              <w:rPr>
                <w:rFonts w:cs="Times New Roman"/>
                <w:sz w:val="16"/>
                <w:szCs w:val="16"/>
              </w:rPr>
            </w:pPr>
          </w:p>
        </w:tc>
      </w:tr>
      <w:tr w:rsidR="00A24F7D" w:rsidRPr="00C01409" w:rsidTr="00653AFA">
        <w:trPr>
          <w:trHeight w:val="648"/>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02.03.</w:t>
            </w:r>
          </w:p>
          <w:p w:rsidR="00A24F7D" w:rsidRPr="00C01409" w:rsidRDefault="00A24F7D"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A24F7D" w:rsidRPr="00C01409" w:rsidTr="00653AFA">
        <w:trPr>
          <w:trHeight w:val="806"/>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i/>
                <w:sz w:val="16"/>
                <w:szCs w:val="16"/>
              </w:rPr>
            </w:pPr>
            <w:r w:rsidRPr="00C01409">
              <w:rPr>
                <w:rFonts w:cs="Times New Roman"/>
                <w:i/>
                <w:sz w:val="16"/>
                <w:szCs w:val="16"/>
              </w:rPr>
              <w:lastRenderedPageBreak/>
              <w:t>3.</w:t>
            </w:r>
          </w:p>
        </w:tc>
        <w:tc>
          <w:tcPr>
            <w:tcW w:w="3234"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i/>
                <w:sz w:val="16"/>
                <w:szCs w:val="16"/>
              </w:rPr>
            </w:pPr>
            <w:r w:rsidRPr="00C01409">
              <w:rPr>
                <w:rFonts w:cs="Times New Roman"/>
                <w:i/>
                <w:sz w:val="16"/>
                <w:szCs w:val="16"/>
              </w:rPr>
              <w:t>Х</w:t>
            </w:r>
          </w:p>
        </w:tc>
      </w:tr>
      <w:tr w:rsidR="00653AFA" w:rsidRPr="00C01409" w:rsidTr="00C00A6A">
        <w:trPr>
          <w:trHeight w:val="1382"/>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мероприятий для исполнения ключевых показателей на товарных рынках (сферах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lastRenderedPageBreak/>
              <w:t>3.5.</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A24F7D" w:rsidRPr="00C01409" w:rsidTr="00653AFA">
        <w:trPr>
          <w:trHeight w:val="428"/>
        </w:trPr>
        <w:tc>
          <w:tcPr>
            <w:tcW w:w="591" w:type="dxa"/>
            <w:vAlign w:val="center"/>
            <w:hideMark/>
          </w:tcPr>
          <w:p w:rsidR="00A24F7D" w:rsidRPr="00C01409" w:rsidRDefault="00A24F7D" w:rsidP="00F317CA">
            <w:pPr>
              <w:rPr>
                <w:rFonts w:cs="Times New Roman"/>
                <w:sz w:val="16"/>
                <w:szCs w:val="16"/>
              </w:rPr>
            </w:pPr>
          </w:p>
        </w:tc>
        <w:tc>
          <w:tcPr>
            <w:tcW w:w="3234" w:type="dxa"/>
            <w:hideMark/>
          </w:tcPr>
          <w:p w:rsidR="00A24F7D" w:rsidRPr="00C01409" w:rsidRDefault="00A24F7D"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A24F7D" w:rsidRPr="00C01409" w:rsidRDefault="00A24F7D" w:rsidP="00F317CA">
            <w:pPr>
              <w:rPr>
                <w:rFonts w:cs="Times New Roman"/>
                <w:sz w:val="16"/>
                <w:szCs w:val="16"/>
              </w:rPr>
            </w:pPr>
          </w:p>
        </w:tc>
        <w:tc>
          <w:tcPr>
            <w:tcW w:w="1590" w:type="dxa"/>
            <w:hideMark/>
          </w:tcPr>
          <w:p w:rsidR="00A24F7D" w:rsidRPr="00C01409" w:rsidRDefault="00A24F7D"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vAlign w:val="center"/>
          </w:tcPr>
          <w:p w:rsidR="00A24F7D" w:rsidRPr="00C01409" w:rsidRDefault="00653AFA" w:rsidP="00653AFA">
            <w:pPr>
              <w:jc w:val="center"/>
              <w:rPr>
                <w:rFonts w:cs="Times New Roman"/>
                <w:sz w:val="16"/>
                <w:szCs w:val="16"/>
              </w:rPr>
            </w:pPr>
            <w:r w:rsidRPr="00C01409">
              <w:rPr>
                <w:rFonts w:cs="Times New Roman"/>
                <w:sz w:val="16"/>
                <w:szCs w:val="16"/>
              </w:rPr>
              <w:t>0,0</w:t>
            </w:r>
          </w:p>
        </w:tc>
        <w:tc>
          <w:tcPr>
            <w:tcW w:w="1843" w:type="dxa"/>
            <w:vAlign w:val="center"/>
            <w:hideMark/>
          </w:tcPr>
          <w:p w:rsidR="00A24F7D" w:rsidRPr="00C01409" w:rsidRDefault="00A24F7D" w:rsidP="00F317CA">
            <w:pPr>
              <w:rPr>
                <w:rFonts w:cs="Times New Roman"/>
                <w:sz w:val="16"/>
                <w:szCs w:val="16"/>
              </w:rPr>
            </w:pPr>
          </w:p>
        </w:tc>
        <w:tc>
          <w:tcPr>
            <w:tcW w:w="1701" w:type="dxa"/>
            <w:vAlign w:val="center"/>
            <w:hideMark/>
          </w:tcPr>
          <w:p w:rsidR="00A24F7D" w:rsidRPr="00C01409" w:rsidRDefault="00A24F7D"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1276"/>
        <w:gridCol w:w="1276"/>
        <w:gridCol w:w="1276"/>
        <w:gridCol w:w="1275"/>
        <w:gridCol w:w="1276"/>
        <w:gridCol w:w="1276"/>
        <w:gridCol w:w="143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43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187" w:type="dxa"/>
          </w:tcPr>
          <w:p w:rsidR="00653AFA" w:rsidRPr="008676B5" w:rsidRDefault="00235F8B" w:rsidP="00E25788">
            <w:pPr>
              <w:jc w:val="center"/>
              <w:rPr>
                <w:rFonts w:cs="Times New Roman"/>
                <w:szCs w:val="16"/>
              </w:rPr>
            </w:pPr>
            <w:r>
              <w:rPr>
                <w:rFonts w:cs="Times New Roman"/>
                <w:szCs w:val="16"/>
              </w:rPr>
              <w:t xml:space="preserve">8 </w:t>
            </w:r>
            <w:r w:rsidR="007553DF">
              <w:rPr>
                <w:rFonts w:cs="Times New Roman"/>
                <w:szCs w:val="16"/>
              </w:rPr>
              <w:t>286</w:t>
            </w:r>
            <w:r w:rsidR="00653AFA">
              <w:rPr>
                <w:rFonts w:cs="Times New Roman"/>
                <w:szCs w:val="16"/>
              </w:rPr>
              <w:t>,</w:t>
            </w:r>
            <w:r w:rsidR="00E25788">
              <w:rPr>
                <w:rFonts w:cs="Times New Roman"/>
                <w:szCs w:val="16"/>
              </w:rPr>
              <w:t>1</w:t>
            </w:r>
            <w:r w:rsidR="00653AFA">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135,0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14700E" w:rsidRDefault="00653AFA" w:rsidP="00E25788">
            <w:pPr>
              <w:jc w:val="center"/>
              <w:rPr>
                <w:rFonts w:cs="Times New Roman"/>
                <w:szCs w:val="16"/>
              </w:rPr>
            </w:pPr>
            <w:r w:rsidRPr="0014700E">
              <w:rPr>
                <w:rFonts w:cs="Times New Roman"/>
                <w:szCs w:val="16"/>
              </w:rPr>
              <w:t>1</w:t>
            </w:r>
            <w:r>
              <w:rPr>
                <w:rFonts w:cs="Times New Roman"/>
                <w:szCs w:val="16"/>
              </w:rPr>
              <w:t xml:space="preserve"> </w:t>
            </w:r>
            <w:r w:rsidR="007553DF">
              <w:rPr>
                <w:rFonts w:cs="Times New Roman"/>
                <w:szCs w:val="16"/>
              </w:rPr>
              <w:t>231</w:t>
            </w:r>
            <w:r w:rsidRPr="0014700E">
              <w:rPr>
                <w:rFonts w:cs="Times New Roman"/>
                <w:szCs w:val="16"/>
              </w:rPr>
              <w:t>,</w:t>
            </w:r>
            <w:r w:rsidR="00E25788">
              <w:rPr>
                <w:rFonts w:cs="Times New Roman"/>
                <w:szCs w:val="16"/>
              </w:rPr>
              <w:t>1</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43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187" w:type="dxa"/>
          </w:tcPr>
          <w:p w:rsidR="00653AFA" w:rsidRPr="008676B5" w:rsidRDefault="00235F8B" w:rsidP="00E25788">
            <w:pPr>
              <w:jc w:val="center"/>
              <w:rPr>
                <w:rFonts w:cs="Times New Roman"/>
                <w:szCs w:val="16"/>
              </w:rPr>
            </w:pPr>
            <w:r>
              <w:rPr>
                <w:rFonts w:cs="Times New Roman"/>
                <w:szCs w:val="16"/>
              </w:rPr>
              <w:t>5</w:t>
            </w:r>
            <w:r w:rsidR="00653AFA">
              <w:rPr>
                <w:rFonts w:cs="Times New Roman"/>
                <w:szCs w:val="16"/>
              </w:rPr>
              <w:t> </w:t>
            </w:r>
            <w:r w:rsidR="007553DF">
              <w:rPr>
                <w:rFonts w:cs="Times New Roman"/>
                <w:szCs w:val="16"/>
              </w:rPr>
              <w:t>406</w:t>
            </w:r>
            <w:r w:rsidR="00653AFA">
              <w:rPr>
                <w:rFonts w:cs="Times New Roman"/>
                <w:szCs w:val="16"/>
              </w:rPr>
              <w:t>,</w:t>
            </w:r>
            <w:r w:rsidR="00E25788">
              <w:rPr>
                <w:rFonts w:cs="Times New Roman"/>
                <w:szCs w:val="16"/>
              </w:rPr>
              <w:t>1</w:t>
            </w:r>
            <w:r w:rsidR="00653AFA">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655,0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14700E" w:rsidRDefault="007553DF" w:rsidP="00E25788">
            <w:pPr>
              <w:jc w:val="center"/>
              <w:rPr>
                <w:rFonts w:cs="Times New Roman"/>
                <w:szCs w:val="16"/>
              </w:rPr>
            </w:pPr>
            <w:r>
              <w:rPr>
                <w:rFonts w:cs="Times New Roman"/>
                <w:szCs w:val="16"/>
              </w:rPr>
              <w:t>751</w:t>
            </w:r>
            <w:r w:rsidR="00653AFA" w:rsidRPr="0014700E">
              <w:rPr>
                <w:rFonts w:cs="Times New Roman"/>
                <w:szCs w:val="16"/>
              </w:rPr>
              <w:t>,</w:t>
            </w:r>
            <w:r w:rsidR="00E25788">
              <w:rPr>
                <w:rFonts w:cs="Times New Roman"/>
                <w:szCs w:val="16"/>
              </w:rPr>
              <w:t>1</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43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187" w:type="dxa"/>
          </w:tcPr>
          <w:p w:rsidR="00653AFA" w:rsidRPr="00C01409" w:rsidRDefault="00653AFA" w:rsidP="00235F8B">
            <w:pPr>
              <w:jc w:val="center"/>
              <w:rPr>
                <w:rFonts w:cs="Times New Roman"/>
                <w:szCs w:val="16"/>
              </w:rPr>
            </w:pPr>
            <w:r w:rsidRPr="00C01409">
              <w:rPr>
                <w:rFonts w:cs="Times New Roman"/>
                <w:szCs w:val="16"/>
              </w:rPr>
              <w:t>2 </w:t>
            </w:r>
            <w:r w:rsidR="00235F8B">
              <w:rPr>
                <w:rFonts w:cs="Times New Roman"/>
                <w:szCs w:val="16"/>
              </w:rPr>
              <w:t>880</w:t>
            </w:r>
            <w:r w:rsidRPr="00C01409">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437" w:type="dxa"/>
            <w:vMerge/>
          </w:tcPr>
          <w:p w:rsidR="00653AFA" w:rsidRPr="002618A2" w:rsidRDefault="00653AFA" w:rsidP="00653AFA">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На территории городского округа хозяйственную деятельность ведут 4167 микропредприятия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помещений  –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852"/>
        <w:gridCol w:w="2126"/>
        <w:gridCol w:w="1417"/>
      </w:tblGrid>
      <w:tr w:rsidR="00653AFA" w:rsidRPr="00C01409" w:rsidTr="00C00A6A">
        <w:trPr>
          <w:trHeight w:val="286"/>
        </w:trPr>
        <w:tc>
          <w:tcPr>
            <w:tcW w:w="590"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212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653AFA">
        <w:trPr>
          <w:trHeight w:val="20"/>
        </w:trPr>
        <w:tc>
          <w:tcPr>
            <w:tcW w:w="590" w:type="dxa"/>
            <w:vMerge/>
            <w:vAlign w:val="center"/>
            <w:hideMark/>
          </w:tcPr>
          <w:p w:rsidR="00653AFA" w:rsidRPr="00C01409" w:rsidRDefault="00653AFA" w:rsidP="00F6039F">
            <w:pPr>
              <w:rPr>
                <w:rFonts w:cs="Times New Roman"/>
                <w:sz w:val="16"/>
                <w:szCs w:val="16"/>
              </w:rPr>
            </w:pPr>
          </w:p>
        </w:tc>
        <w:tc>
          <w:tcPr>
            <w:tcW w:w="2387" w:type="dxa"/>
            <w:vMerge/>
            <w:vAlign w:val="center"/>
            <w:hideMark/>
          </w:tcPr>
          <w:p w:rsidR="00653AFA" w:rsidRPr="00C01409" w:rsidRDefault="00653AFA" w:rsidP="00F6039F">
            <w:pPr>
              <w:rPr>
                <w:rFonts w:cs="Times New Roman"/>
                <w:sz w:val="16"/>
                <w:szCs w:val="16"/>
              </w:rPr>
            </w:pPr>
          </w:p>
        </w:tc>
        <w:tc>
          <w:tcPr>
            <w:tcW w:w="1276" w:type="dxa"/>
            <w:vMerge/>
            <w:vAlign w:val="center"/>
            <w:hideMark/>
          </w:tcPr>
          <w:p w:rsidR="00653AFA" w:rsidRPr="00C01409" w:rsidRDefault="00653AFA" w:rsidP="00F6039F">
            <w:pP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c>
          <w:tcPr>
            <w:tcW w:w="1134" w:type="dxa"/>
            <w:vMerge/>
            <w:vAlign w:val="center"/>
            <w:hideMark/>
          </w:tcPr>
          <w:p w:rsidR="00653AFA" w:rsidRPr="00C01409" w:rsidRDefault="00653AFA" w:rsidP="00F6039F">
            <w:pPr>
              <w:rPr>
                <w:rFonts w:cs="Times New Roman"/>
                <w:sz w:val="16"/>
                <w:szCs w:val="16"/>
              </w:rPr>
            </w:pP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2024 год</w:t>
            </w:r>
          </w:p>
        </w:tc>
        <w:tc>
          <w:tcPr>
            <w:tcW w:w="852" w:type="dxa"/>
            <w:vAlign w:val="center"/>
          </w:tcPr>
          <w:p w:rsidR="00653AFA"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2126" w:type="dxa"/>
            <w:vMerge/>
            <w:vAlign w:val="center"/>
            <w:hideMark/>
          </w:tcPr>
          <w:p w:rsidR="00653AFA" w:rsidRPr="00C01409" w:rsidRDefault="00653AFA" w:rsidP="00F6039F">
            <w:pPr>
              <w:jc w:val="cente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r>
      <w:tr w:rsidR="00653AFA" w:rsidRPr="00C01409" w:rsidTr="00653AFA">
        <w:trPr>
          <w:trHeight w:val="20"/>
        </w:trPr>
        <w:tc>
          <w:tcPr>
            <w:tcW w:w="590" w:type="dxa"/>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2387" w:type="dxa"/>
          </w:tcPr>
          <w:p w:rsidR="00653AFA" w:rsidRPr="00C01409" w:rsidRDefault="00653AFA"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417" w:type="dxa"/>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653AFA" w:rsidRPr="00C01409" w:rsidRDefault="005024F6" w:rsidP="00923868">
            <w:pPr>
              <w:jc w:val="center"/>
              <w:rPr>
                <w:rFonts w:cs="Times New Roman"/>
                <w:i/>
                <w:sz w:val="16"/>
                <w:szCs w:val="16"/>
              </w:rPr>
            </w:pPr>
            <w:r>
              <w:rPr>
                <w:rFonts w:cs="Times New Roman"/>
                <w:i/>
                <w:sz w:val="16"/>
                <w:szCs w:val="16"/>
              </w:rPr>
              <w:t>5</w:t>
            </w:r>
            <w:r w:rsidR="007553DF">
              <w:rPr>
                <w:rFonts w:cs="Times New Roman"/>
                <w:i/>
                <w:sz w:val="16"/>
                <w:szCs w:val="16"/>
              </w:rPr>
              <w:t>406</w:t>
            </w:r>
            <w:r w:rsidR="00653AFA" w:rsidRPr="00776948">
              <w:rPr>
                <w:rFonts w:cs="Times New Roman"/>
                <w:i/>
                <w:sz w:val="16"/>
                <w:szCs w:val="16"/>
              </w:rPr>
              <w:t>,</w:t>
            </w:r>
            <w:r w:rsidR="00923868">
              <w:rPr>
                <w:rFonts w:cs="Times New Roman"/>
                <w:i/>
                <w:sz w:val="16"/>
                <w:szCs w:val="16"/>
              </w:rPr>
              <w:t>1</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653AFA" w:rsidRPr="0014700E" w:rsidRDefault="007553DF" w:rsidP="00923868">
            <w:pPr>
              <w:jc w:val="center"/>
              <w:rPr>
                <w:rFonts w:cs="Times New Roman"/>
                <w:i/>
                <w:sz w:val="16"/>
                <w:szCs w:val="16"/>
              </w:rPr>
            </w:pPr>
            <w:r>
              <w:rPr>
                <w:rFonts w:cs="Times New Roman"/>
                <w:i/>
                <w:sz w:val="16"/>
                <w:szCs w:val="16"/>
              </w:rPr>
              <w:t>751</w:t>
            </w:r>
            <w:r w:rsidR="00653AFA" w:rsidRPr="0014700E">
              <w:rPr>
                <w:rFonts w:cs="Times New Roman"/>
                <w:i/>
                <w:sz w:val="16"/>
                <w:szCs w:val="16"/>
              </w:rPr>
              <w:t>,</w:t>
            </w:r>
            <w:r w:rsidR="00923868">
              <w:rPr>
                <w:rFonts w:cs="Times New Roman"/>
                <w:i/>
                <w:sz w:val="16"/>
                <w:szCs w:val="16"/>
              </w:rPr>
              <w:t>1</w:t>
            </w:r>
          </w:p>
        </w:tc>
        <w:tc>
          <w:tcPr>
            <w:tcW w:w="851"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1.1.</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02.01. </w:t>
            </w:r>
          </w:p>
          <w:p w:rsidR="00653AFA" w:rsidRPr="00C01409" w:rsidRDefault="00653AFA"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653AFA" w:rsidRPr="00C01409" w:rsidRDefault="00653AFA"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1" w:type="dxa"/>
            <w:shd w:val="clear" w:color="auto" w:fill="auto"/>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14700E" w:rsidRDefault="00653AFA" w:rsidP="00F6039F">
            <w:pPr>
              <w:jc w:val="center"/>
            </w:pPr>
            <w:r w:rsidRPr="0014700E">
              <w:rPr>
                <w:rFonts w:cs="Times New Roman"/>
                <w:sz w:val="16"/>
                <w:szCs w:val="16"/>
              </w:rPr>
              <w:t>0,0</w:t>
            </w:r>
          </w:p>
        </w:tc>
        <w:tc>
          <w:tcPr>
            <w:tcW w:w="851" w:type="dxa"/>
            <w:shd w:val="clear" w:color="auto" w:fill="auto"/>
          </w:tcPr>
          <w:p w:rsidR="00653AFA" w:rsidRPr="0014700E" w:rsidRDefault="00653AFA" w:rsidP="00F6039F">
            <w:pPr>
              <w:jc w:val="center"/>
            </w:pPr>
            <w:r w:rsidRPr="0014700E">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02.02. </w:t>
            </w:r>
          </w:p>
          <w:p w:rsidR="00653AFA" w:rsidRPr="00C01409" w:rsidRDefault="00653AFA"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5024F6" w:rsidP="00923868">
            <w:pPr>
              <w:jc w:val="center"/>
              <w:rPr>
                <w:rFonts w:cs="Times New Roman"/>
                <w:sz w:val="16"/>
                <w:szCs w:val="16"/>
              </w:rPr>
            </w:pPr>
            <w:r>
              <w:rPr>
                <w:rFonts w:cs="Times New Roman"/>
                <w:sz w:val="16"/>
                <w:szCs w:val="16"/>
              </w:rPr>
              <w:t>5</w:t>
            </w:r>
            <w:r w:rsidR="007553DF">
              <w:rPr>
                <w:rFonts w:cs="Times New Roman"/>
                <w:sz w:val="16"/>
                <w:szCs w:val="16"/>
              </w:rPr>
              <w:t>406</w:t>
            </w:r>
            <w:r w:rsidR="00653AFA" w:rsidRPr="00C01409">
              <w:rPr>
                <w:rFonts w:cs="Times New Roman"/>
                <w:sz w:val="16"/>
                <w:szCs w:val="16"/>
              </w:rPr>
              <w:t>,</w:t>
            </w:r>
            <w:r w:rsidR="00923868">
              <w:rPr>
                <w:rFonts w:cs="Times New Roman"/>
                <w:sz w:val="16"/>
                <w:szCs w:val="16"/>
              </w:rPr>
              <w:t>1</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653AFA" w:rsidRPr="0014700E" w:rsidRDefault="007553DF" w:rsidP="00923868">
            <w:pPr>
              <w:jc w:val="center"/>
              <w:rPr>
                <w:rFonts w:cs="Times New Roman"/>
                <w:sz w:val="16"/>
                <w:szCs w:val="16"/>
              </w:rPr>
            </w:pPr>
            <w:r>
              <w:rPr>
                <w:rFonts w:cs="Times New Roman"/>
                <w:sz w:val="16"/>
                <w:szCs w:val="16"/>
              </w:rPr>
              <w:t>751</w:t>
            </w:r>
            <w:r w:rsidR="00653AFA"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1000,0</w:t>
            </w:r>
          </w:p>
        </w:tc>
        <w:tc>
          <w:tcPr>
            <w:tcW w:w="2126" w:type="dxa"/>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val="restart"/>
          </w:tcPr>
          <w:p w:rsidR="00653AFA" w:rsidRPr="00B03631" w:rsidRDefault="00653AFA" w:rsidP="00F317CA">
            <w:pPr>
              <w:rPr>
                <w:rFonts w:cs="Times New Roman"/>
                <w:sz w:val="16"/>
                <w:szCs w:val="16"/>
              </w:rPr>
            </w:pPr>
            <w:r w:rsidRPr="00B03631">
              <w:rPr>
                <w:rFonts w:cs="Times New Roman"/>
                <w:sz w:val="16"/>
                <w:szCs w:val="16"/>
              </w:rPr>
              <w:lastRenderedPageBreak/>
              <w:t>1.3.</w:t>
            </w: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653AFA" w:rsidRPr="00B03631" w:rsidRDefault="00653AFA" w:rsidP="00F317CA">
            <w:pPr>
              <w:jc w:val="center"/>
              <w:rPr>
                <w:rFonts w:cs="Times New Roman"/>
                <w:sz w:val="16"/>
                <w:szCs w:val="16"/>
              </w:rPr>
            </w:pPr>
            <w:r w:rsidRPr="00B03631">
              <w:rPr>
                <w:rFonts w:cs="Times New Roman"/>
                <w:sz w:val="16"/>
                <w:szCs w:val="16"/>
              </w:rPr>
              <w:t>2020-2021</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2" w:type="dxa"/>
          </w:tcPr>
          <w:p w:rsidR="00653AFA" w:rsidRPr="00B03631" w:rsidRDefault="00653AFA" w:rsidP="00F317CA">
            <w:pPr>
              <w:jc w:val="center"/>
              <w:rPr>
                <w:rFonts w:cs="Times New Roman"/>
                <w:i/>
                <w:sz w:val="16"/>
                <w:szCs w:val="16"/>
              </w:rPr>
            </w:pPr>
            <w:r>
              <w:rPr>
                <w:rFonts w:cs="Times New Roman"/>
                <w:i/>
                <w:sz w:val="16"/>
                <w:szCs w:val="16"/>
              </w:rPr>
              <w:t>-</w:t>
            </w:r>
          </w:p>
        </w:tc>
        <w:tc>
          <w:tcPr>
            <w:tcW w:w="2126" w:type="dxa"/>
            <w:vMerge w:val="restart"/>
          </w:tcPr>
          <w:p w:rsidR="00653AFA" w:rsidRPr="00B03631" w:rsidRDefault="00653AFA" w:rsidP="00F317CA">
            <w:pPr>
              <w:jc w:val="center"/>
              <w:rPr>
                <w:rFonts w:cs="Times New Roman"/>
                <w:i/>
                <w:sz w:val="16"/>
                <w:szCs w:val="16"/>
              </w:rPr>
            </w:pPr>
            <w:r w:rsidRPr="00B03631">
              <w:rPr>
                <w:rFonts w:cs="Times New Roman"/>
                <w:i/>
                <w:sz w:val="16"/>
                <w:szCs w:val="16"/>
              </w:rPr>
              <w:t>2020 год –Экономическое управление</w:t>
            </w:r>
          </w:p>
          <w:p w:rsidR="00653AFA" w:rsidRPr="00B03631" w:rsidRDefault="00653AF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653AFA" w:rsidRPr="00B03631" w:rsidRDefault="00653AF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417" w:type="dxa"/>
            <w:vMerge w:val="restart"/>
          </w:tcPr>
          <w:p w:rsidR="00653AFA" w:rsidRPr="00B03631" w:rsidRDefault="00653AF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tcPr>
          <w:p w:rsidR="00653AFA" w:rsidRPr="00B03631" w:rsidRDefault="00653AFA" w:rsidP="00F317CA">
            <w:pPr>
              <w:rPr>
                <w:rFonts w:cs="Times New Roman"/>
                <w:sz w:val="16"/>
                <w:szCs w:val="16"/>
              </w:rPr>
            </w:pP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653AFA" w:rsidRPr="00B03631" w:rsidRDefault="00653AFA" w:rsidP="00653AFA">
            <w:pPr>
              <w:jc w:val="center"/>
              <w:rPr>
                <w:rFonts w:cs="Times New Roman"/>
                <w:sz w:val="16"/>
                <w:szCs w:val="16"/>
              </w:rPr>
            </w:pPr>
            <w:r w:rsidRPr="00B03631">
              <w:rPr>
                <w:rFonts w:cs="Times New Roman"/>
                <w:sz w:val="16"/>
                <w:szCs w:val="16"/>
              </w:rPr>
              <w:t>2022-202</w:t>
            </w:r>
            <w:r>
              <w:rPr>
                <w:rFonts w:cs="Times New Roman"/>
                <w:sz w:val="16"/>
                <w:szCs w:val="16"/>
              </w:rPr>
              <w:t>5</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t>-</w:t>
            </w:r>
          </w:p>
        </w:tc>
        <w:tc>
          <w:tcPr>
            <w:tcW w:w="851" w:type="dxa"/>
            <w:shd w:val="clear" w:color="auto" w:fill="auto"/>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C01409" w:rsidRDefault="00653AFA" w:rsidP="00F317CA">
            <w:pPr>
              <w:jc w:val="center"/>
            </w:pPr>
            <w:r w:rsidRPr="00C01409">
              <w:rPr>
                <w:rFonts w:cs="Times New Roman"/>
                <w:sz w:val="16"/>
                <w:szCs w:val="16"/>
              </w:rPr>
              <w:t>0,0</w:t>
            </w:r>
          </w:p>
        </w:tc>
        <w:tc>
          <w:tcPr>
            <w:tcW w:w="852" w:type="dxa"/>
          </w:tcPr>
          <w:p w:rsidR="00653AFA" w:rsidRPr="00C01409" w:rsidRDefault="00653AFA" w:rsidP="00F317CA">
            <w:pPr>
              <w:jc w:val="center"/>
            </w:pPr>
            <w:r w:rsidRPr="00C01409">
              <w:rPr>
                <w:rFonts w:cs="Times New Roman"/>
                <w:sz w:val="16"/>
                <w:szCs w:val="16"/>
              </w:rPr>
              <w:t>0,0</w:t>
            </w:r>
          </w:p>
        </w:tc>
        <w:tc>
          <w:tcPr>
            <w:tcW w:w="2126" w:type="dxa"/>
            <w:vMerge/>
          </w:tcPr>
          <w:p w:rsidR="00653AFA" w:rsidRPr="00C01409" w:rsidRDefault="00653AFA" w:rsidP="00F317CA">
            <w:pPr>
              <w:jc w:val="center"/>
            </w:pPr>
          </w:p>
        </w:tc>
        <w:tc>
          <w:tcPr>
            <w:tcW w:w="1417" w:type="dxa"/>
            <w:vMerge/>
          </w:tcPr>
          <w:p w:rsidR="00653AFA" w:rsidRPr="00C01409" w:rsidRDefault="00653AFA" w:rsidP="00F317CA">
            <w:pPr>
              <w:jc w:val="center"/>
              <w:rPr>
                <w:rFonts w:cs="Times New Roman"/>
                <w:sz w:val="16"/>
                <w:szCs w:val="16"/>
              </w:rPr>
            </w:pPr>
          </w:p>
        </w:tc>
      </w:tr>
      <w:tr w:rsidR="00653AFA" w:rsidRPr="00C01409" w:rsidTr="00C00A6A">
        <w:trPr>
          <w:trHeight w:val="251"/>
        </w:trPr>
        <w:tc>
          <w:tcPr>
            <w:tcW w:w="590" w:type="dxa"/>
            <w:vMerge w:val="restart"/>
          </w:tcPr>
          <w:p w:rsidR="00653AFA" w:rsidRPr="00C01409" w:rsidRDefault="00653AFA" w:rsidP="00653AFA">
            <w:pPr>
              <w:rPr>
                <w:rFonts w:cs="Times New Roman"/>
                <w:i/>
                <w:sz w:val="16"/>
                <w:szCs w:val="16"/>
              </w:rPr>
            </w:pPr>
            <w:r w:rsidRPr="00C01409">
              <w:rPr>
                <w:rFonts w:cs="Times New Roman"/>
                <w:i/>
                <w:sz w:val="16"/>
                <w:szCs w:val="16"/>
              </w:rPr>
              <w:t>2.</w:t>
            </w:r>
          </w:p>
        </w:tc>
        <w:tc>
          <w:tcPr>
            <w:tcW w:w="2387" w:type="dxa"/>
            <w:vMerge w:val="restart"/>
          </w:tcPr>
          <w:p w:rsidR="00653AFA" w:rsidRPr="00C01409" w:rsidRDefault="00653AFA" w:rsidP="00653AF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417" w:type="dxa"/>
          </w:tcPr>
          <w:p w:rsidR="00653AFA" w:rsidRPr="00C01409" w:rsidRDefault="00653AFA" w:rsidP="00653AFA">
            <w:pPr>
              <w:rPr>
                <w:rFonts w:cs="Times New Roman"/>
                <w:i/>
                <w:sz w:val="16"/>
                <w:szCs w:val="16"/>
              </w:rPr>
            </w:pPr>
            <w:r w:rsidRPr="00C01409">
              <w:rPr>
                <w:rFonts w:cs="Times New Roman"/>
                <w:i/>
                <w:sz w:val="16"/>
                <w:szCs w:val="16"/>
              </w:rPr>
              <w:t>Итого</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553"/>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C01409" w:rsidRDefault="00653AFA" w:rsidP="00653AF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tcPr>
          <w:p w:rsidR="00653AFA" w:rsidRPr="00C01409" w:rsidRDefault="00653AFA" w:rsidP="00653AFA">
            <w:pPr>
              <w:jc w:val="center"/>
              <w:rPr>
                <w:rFonts w:cs="Times New Roman"/>
                <w:i/>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r w:rsidRPr="00C01409">
              <w:rPr>
                <w:rFonts w:cs="Times New Roman"/>
                <w:sz w:val="16"/>
                <w:szCs w:val="16"/>
              </w:rPr>
              <w:t>2.1.</w:t>
            </w: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653AFA" w:rsidRPr="00C01409" w:rsidRDefault="00653AFA" w:rsidP="00653AFA">
            <w:pPr>
              <w:rPr>
                <w:rFonts w:cs="Times New Roman"/>
                <w:sz w:val="16"/>
                <w:szCs w:val="16"/>
              </w:rPr>
            </w:pPr>
            <w:r w:rsidRPr="00C01409">
              <w:rPr>
                <w:rFonts w:cs="Times New Roman"/>
                <w:sz w:val="16"/>
                <w:szCs w:val="16"/>
              </w:rPr>
              <w:lastRenderedPageBreak/>
              <w:t>Реализация мероприятий по популяризации малого и среднего предпринимательства:</w:t>
            </w:r>
          </w:p>
        </w:tc>
        <w:tc>
          <w:tcPr>
            <w:tcW w:w="1276" w:type="dxa"/>
            <w:vMerge w:val="restart"/>
          </w:tcPr>
          <w:p w:rsidR="00653AFA" w:rsidRPr="00C01409" w:rsidRDefault="00653AFA" w:rsidP="00653AFA">
            <w:pPr>
              <w:jc w:val="center"/>
              <w:rPr>
                <w:rFonts w:cs="Times New Roman"/>
                <w:sz w:val="16"/>
                <w:szCs w:val="16"/>
              </w:rPr>
            </w:pPr>
            <w:r w:rsidRPr="00C01409">
              <w:rPr>
                <w:rFonts w:cs="Times New Roman"/>
                <w:sz w:val="16"/>
                <w:szCs w:val="16"/>
              </w:rPr>
              <w:lastRenderedPageBreak/>
              <w:t>2020-202</w:t>
            </w:r>
            <w:r>
              <w:rPr>
                <w:rFonts w:cs="Times New Roman"/>
                <w:sz w:val="16"/>
                <w:szCs w:val="16"/>
              </w:rPr>
              <w:t>5</w:t>
            </w:r>
          </w:p>
        </w:tc>
        <w:tc>
          <w:tcPr>
            <w:tcW w:w="1417" w:type="dxa"/>
          </w:tcPr>
          <w:p w:rsidR="00653AFA" w:rsidRPr="00FF69C4" w:rsidRDefault="00653AFA" w:rsidP="00653AFA">
            <w:pPr>
              <w:rPr>
                <w:rFonts w:cs="Times New Roman"/>
                <w:sz w:val="16"/>
                <w:szCs w:val="16"/>
              </w:rPr>
            </w:pPr>
            <w:r w:rsidRPr="00FF69C4">
              <w:rPr>
                <w:rFonts w:cs="Times New Roman"/>
                <w:sz w:val="16"/>
                <w:szCs w:val="16"/>
              </w:rPr>
              <w:t>Итого</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val="restart"/>
          </w:tcPr>
          <w:p w:rsidR="00653AFA" w:rsidRPr="00FF69C4" w:rsidRDefault="00653AFA" w:rsidP="00653AF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sz w:val="16"/>
                <w:szCs w:val="16"/>
              </w:rPr>
            </w:pPr>
            <w:r w:rsidRPr="00C01409">
              <w:rPr>
                <w:rFonts w:cs="Times New Roman"/>
                <w:sz w:val="16"/>
                <w:szCs w:val="16"/>
              </w:rPr>
              <w:t>Популяризация предпринимательства</w:t>
            </w:r>
          </w:p>
        </w:tc>
      </w:tr>
      <w:tr w:rsidR="00653AFA" w:rsidRPr="00C01409" w:rsidTr="00C00A6A">
        <w:trPr>
          <w:trHeight w:val="20"/>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FF69C4" w:rsidRDefault="00653AFA" w:rsidP="00653AFA">
            <w:pPr>
              <w:rPr>
                <w:rFonts w:cs="Times New Roman"/>
                <w:sz w:val="16"/>
                <w:szCs w:val="16"/>
              </w:rPr>
            </w:pPr>
            <w:r w:rsidRPr="00FF69C4">
              <w:rPr>
                <w:rFonts w:cs="Times New Roman"/>
                <w:sz w:val="16"/>
                <w:szCs w:val="16"/>
              </w:rPr>
              <w:t>Внебюджетные средства</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tcPr>
          <w:p w:rsidR="00653AFA" w:rsidRPr="00FF69C4" w:rsidRDefault="00653AFA" w:rsidP="00653AFA">
            <w:pPr>
              <w:jc w:val="center"/>
              <w:rPr>
                <w:rFonts w:cs="Times New Roman"/>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Всего по Подпрограмме</w:t>
            </w:r>
          </w:p>
        </w:tc>
        <w:tc>
          <w:tcPr>
            <w:tcW w:w="1276" w:type="dxa"/>
            <w:vMerge w:val="restart"/>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653AFA" w:rsidRPr="001F4803" w:rsidRDefault="00D303A0" w:rsidP="00923868">
            <w:pPr>
              <w:jc w:val="center"/>
              <w:rPr>
                <w:rFonts w:cs="Times New Roman"/>
                <w:sz w:val="16"/>
                <w:szCs w:val="16"/>
              </w:rPr>
            </w:pPr>
            <w:r>
              <w:rPr>
                <w:rFonts w:cs="Times New Roman"/>
                <w:sz w:val="16"/>
                <w:szCs w:val="16"/>
              </w:rPr>
              <w:t>8</w:t>
            </w:r>
            <w:r w:rsidR="007553DF">
              <w:rPr>
                <w:rFonts w:cs="Times New Roman"/>
                <w:sz w:val="16"/>
                <w:szCs w:val="16"/>
              </w:rPr>
              <w:t>286</w:t>
            </w:r>
            <w:r w:rsidR="00653AFA" w:rsidRPr="001F4803">
              <w:rPr>
                <w:rFonts w:cs="Times New Roman"/>
                <w:sz w:val="16"/>
                <w:szCs w:val="16"/>
              </w:rPr>
              <w:t>,</w:t>
            </w:r>
            <w:r w:rsidR="00923868">
              <w:rPr>
                <w:rFonts w:cs="Times New Roman"/>
                <w:sz w:val="16"/>
                <w:szCs w:val="16"/>
              </w:rPr>
              <w:t>1</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1135,0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0" w:type="dxa"/>
            <w:shd w:val="clear" w:color="auto" w:fill="auto"/>
          </w:tcPr>
          <w:p w:rsidR="00653AFA" w:rsidRPr="0014700E" w:rsidRDefault="00653AFA" w:rsidP="00923868">
            <w:pPr>
              <w:jc w:val="center"/>
              <w:rPr>
                <w:rFonts w:cs="Times New Roman"/>
                <w:sz w:val="16"/>
                <w:szCs w:val="16"/>
              </w:rPr>
            </w:pPr>
            <w:r w:rsidRPr="0014700E">
              <w:rPr>
                <w:rFonts w:cs="Times New Roman"/>
                <w:sz w:val="16"/>
                <w:szCs w:val="16"/>
              </w:rPr>
              <w:t>1</w:t>
            </w:r>
            <w:r w:rsidR="007553DF">
              <w:rPr>
                <w:rFonts w:cs="Times New Roman"/>
                <w:sz w:val="16"/>
                <w:szCs w:val="16"/>
              </w:rPr>
              <w:t>231</w:t>
            </w:r>
            <w:r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2126" w:type="dxa"/>
            <w:vMerge w:val="restart"/>
          </w:tcPr>
          <w:p w:rsidR="00653AFA" w:rsidRPr="00C01409" w:rsidRDefault="00653AFA" w:rsidP="00653AFA">
            <w:pPr>
              <w:jc w:val="center"/>
              <w:rPr>
                <w:rFonts w:cs="Times New Roman"/>
                <w:sz w:val="16"/>
                <w:szCs w:val="16"/>
              </w:rPr>
            </w:pPr>
          </w:p>
        </w:tc>
        <w:tc>
          <w:tcPr>
            <w:tcW w:w="1417" w:type="dxa"/>
            <w:vMerge w:val="restart"/>
            <w:vAlign w:val="center"/>
          </w:tcPr>
          <w:p w:rsidR="00653AFA" w:rsidRPr="00C01409" w:rsidRDefault="00653AFA" w:rsidP="00653AFA">
            <w:pPr>
              <w:rPr>
                <w:rFonts w:cs="Times New Roman"/>
                <w:sz w:val="16"/>
                <w:szCs w:val="16"/>
              </w:rPr>
            </w:pPr>
          </w:p>
        </w:tc>
      </w:tr>
      <w:tr w:rsidR="00653AFA" w:rsidRPr="00C01409" w:rsidTr="00C00A6A">
        <w:trPr>
          <w:trHeight w:val="733"/>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653AFA" w:rsidRPr="001F4803" w:rsidRDefault="00D303A0" w:rsidP="00923868">
            <w:pPr>
              <w:jc w:val="center"/>
              <w:rPr>
                <w:rFonts w:cs="Times New Roman"/>
                <w:sz w:val="16"/>
                <w:szCs w:val="16"/>
              </w:rPr>
            </w:pPr>
            <w:r>
              <w:rPr>
                <w:rFonts w:cs="Times New Roman"/>
                <w:sz w:val="16"/>
                <w:szCs w:val="16"/>
              </w:rPr>
              <w:t>5</w:t>
            </w:r>
            <w:r w:rsidR="007553DF">
              <w:rPr>
                <w:rFonts w:cs="Times New Roman"/>
                <w:sz w:val="16"/>
                <w:szCs w:val="16"/>
              </w:rPr>
              <w:t>406</w:t>
            </w:r>
            <w:r w:rsidR="00653AFA" w:rsidRPr="001F4803">
              <w:rPr>
                <w:rFonts w:cs="Times New Roman"/>
                <w:sz w:val="16"/>
                <w:szCs w:val="16"/>
              </w:rPr>
              <w:t>,</w:t>
            </w:r>
            <w:r w:rsidR="00923868">
              <w:rPr>
                <w:rFonts w:cs="Times New Roman"/>
                <w:sz w:val="16"/>
                <w:szCs w:val="16"/>
              </w:rPr>
              <w:t>1</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655,0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0" w:type="dxa"/>
            <w:shd w:val="clear" w:color="auto" w:fill="auto"/>
          </w:tcPr>
          <w:p w:rsidR="00653AFA" w:rsidRPr="0014700E" w:rsidRDefault="007553DF" w:rsidP="00923868">
            <w:pPr>
              <w:jc w:val="center"/>
              <w:rPr>
                <w:rFonts w:cs="Times New Roman"/>
                <w:sz w:val="16"/>
                <w:szCs w:val="16"/>
              </w:rPr>
            </w:pPr>
            <w:r>
              <w:rPr>
                <w:rFonts w:cs="Times New Roman"/>
                <w:sz w:val="16"/>
                <w:szCs w:val="16"/>
              </w:rPr>
              <w:t>751</w:t>
            </w:r>
            <w:r w:rsidR="00653AFA"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r w:rsidR="00653AFA" w:rsidRPr="00C01409" w:rsidTr="00C00A6A">
        <w:trPr>
          <w:trHeight w:val="20"/>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653AFA" w:rsidRPr="001F4803" w:rsidRDefault="00653AFA" w:rsidP="00D303A0">
            <w:pPr>
              <w:jc w:val="center"/>
              <w:rPr>
                <w:rFonts w:cs="Times New Roman"/>
                <w:sz w:val="16"/>
                <w:szCs w:val="16"/>
              </w:rPr>
            </w:pPr>
            <w:r w:rsidRPr="001F4803">
              <w:rPr>
                <w:rFonts w:cs="Times New Roman"/>
                <w:sz w:val="16"/>
                <w:szCs w:val="16"/>
              </w:rPr>
              <w:t>2 </w:t>
            </w:r>
            <w:r w:rsidR="00D303A0">
              <w:rPr>
                <w:rFonts w:cs="Times New Roman"/>
                <w:sz w:val="16"/>
                <w:szCs w:val="16"/>
              </w:rPr>
              <w:t>880</w:t>
            </w:r>
            <w:r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57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57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57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tcPr>
          <w:p w:rsidR="00653AFA" w:rsidRPr="002618A2" w:rsidRDefault="00653AFA" w:rsidP="00653AFA">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w:t>
      </w:r>
      <w:r w:rsidRPr="00C01409">
        <w:rPr>
          <w:rFonts w:ascii="Times New Roman" w:hAnsi="Times New Roman" w:cs="Times New Roman"/>
          <w:sz w:val="24"/>
          <w:szCs w:val="24"/>
        </w:rPr>
        <w:lastRenderedPageBreak/>
        <w:t>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В 2018 году открыто более 120 объектов потребительского рынка общей площадью 3  тыс.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кв.м., в 2021 </w:t>
      </w:r>
      <w:r>
        <w:rPr>
          <w:rFonts w:cs="Times New Roman"/>
        </w:rPr>
        <w:t>–</w:t>
      </w:r>
      <w:r w:rsidRPr="00C01409">
        <w:rPr>
          <w:rFonts w:cs="Times New Roman"/>
        </w:rPr>
        <w:t xml:space="preserve"> 1,6 тыс.кв.м., в 2022, 2023 и 2024 годах соответственно по 1,5 тыс. кв.м.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Ввод новых площадей позволит обеспечить индекс физического объема оборота розничной торговли: в  2020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343"/>
        <w:gridCol w:w="1134"/>
        <w:gridCol w:w="235"/>
        <w:gridCol w:w="899"/>
        <w:gridCol w:w="188"/>
        <w:gridCol w:w="946"/>
        <w:gridCol w:w="992"/>
        <w:gridCol w:w="992"/>
        <w:gridCol w:w="992"/>
        <w:gridCol w:w="993"/>
        <w:gridCol w:w="1417"/>
        <w:gridCol w:w="992"/>
      </w:tblGrid>
      <w:tr w:rsidR="00653AFA" w:rsidRPr="00C01409" w:rsidTr="00653AFA">
        <w:trPr>
          <w:trHeight w:val="291"/>
        </w:trPr>
        <w:tc>
          <w:tcPr>
            <w:tcW w:w="590" w:type="dxa"/>
            <w:vMerge w:val="restart"/>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34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6237" w:type="dxa"/>
            <w:gridSpan w:val="8"/>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7"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2"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C00A6A">
        <w:trPr>
          <w:trHeight w:val="20"/>
        </w:trPr>
        <w:tc>
          <w:tcPr>
            <w:tcW w:w="590" w:type="dxa"/>
            <w:vMerge/>
            <w:hideMark/>
          </w:tcPr>
          <w:p w:rsidR="00653AFA" w:rsidRPr="00C01409" w:rsidRDefault="00653AFA" w:rsidP="00653AFA">
            <w:pPr>
              <w:rPr>
                <w:rFonts w:cs="Times New Roman"/>
                <w:sz w:val="16"/>
                <w:szCs w:val="16"/>
              </w:rPr>
            </w:pPr>
          </w:p>
        </w:tc>
        <w:tc>
          <w:tcPr>
            <w:tcW w:w="2953" w:type="dxa"/>
            <w:vMerge/>
            <w:hideMark/>
          </w:tcPr>
          <w:p w:rsidR="00653AFA" w:rsidRPr="00C01409" w:rsidRDefault="00653AFA" w:rsidP="00653AFA">
            <w:pPr>
              <w:rPr>
                <w:rFonts w:cs="Times New Roman"/>
                <w:sz w:val="16"/>
                <w:szCs w:val="16"/>
              </w:rPr>
            </w:pPr>
          </w:p>
        </w:tc>
        <w:tc>
          <w:tcPr>
            <w:tcW w:w="1210" w:type="dxa"/>
            <w:vMerge/>
            <w:hideMark/>
          </w:tcPr>
          <w:p w:rsidR="00653AFA" w:rsidRPr="00C01409" w:rsidRDefault="00653AFA" w:rsidP="00653AFA">
            <w:pPr>
              <w:rPr>
                <w:rFonts w:cs="Times New Roman"/>
                <w:sz w:val="16"/>
                <w:szCs w:val="16"/>
              </w:rPr>
            </w:pPr>
          </w:p>
        </w:tc>
        <w:tc>
          <w:tcPr>
            <w:tcW w:w="1343" w:type="dxa"/>
            <w:vMerge/>
            <w:hideMark/>
          </w:tcPr>
          <w:p w:rsidR="00653AFA" w:rsidRPr="00C01409" w:rsidRDefault="00653AFA" w:rsidP="00653AFA">
            <w:pPr>
              <w:rPr>
                <w:rFonts w:cs="Times New Roman"/>
                <w:sz w:val="16"/>
                <w:szCs w:val="16"/>
              </w:rPr>
            </w:pPr>
          </w:p>
        </w:tc>
        <w:tc>
          <w:tcPr>
            <w:tcW w:w="1134" w:type="dxa"/>
            <w:vMerge/>
            <w:hideMark/>
          </w:tcPr>
          <w:p w:rsidR="00653AFA" w:rsidRPr="00C01409" w:rsidRDefault="00653AFA" w:rsidP="00653AFA">
            <w:pPr>
              <w:rPr>
                <w:rFonts w:cs="Times New Roman"/>
                <w:sz w:val="16"/>
                <w:szCs w:val="16"/>
              </w:rPr>
            </w:pP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2024 год</w:t>
            </w:r>
          </w:p>
        </w:tc>
        <w:tc>
          <w:tcPr>
            <w:tcW w:w="993" w:type="dxa"/>
            <w:shd w:val="clear" w:color="auto" w:fill="auto"/>
          </w:tcPr>
          <w:p w:rsidR="00653AFA" w:rsidRPr="00C01409" w:rsidRDefault="00653AFA" w:rsidP="00653AFA">
            <w:pPr>
              <w:jc w:val="center"/>
              <w:rPr>
                <w:rFonts w:cs="Times New Roman"/>
                <w:sz w:val="16"/>
                <w:szCs w:val="16"/>
              </w:rPr>
            </w:pPr>
            <w:r>
              <w:rPr>
                <w:rFonts w:cs="Times New Roman"/>
                <w:sz w:val="16"/>
                <w:szCs w:val="16"/>
              </w:rPr>
              <w:t>2025</w:t>
            </w:r>
            <w:r w:rsidRPr="00C01409">
              <w:rPr>
                <w:rFonts w:cs="Times New Roman"/>
                <w:sz w:val="16"/>
                <w:szCs w:val="16"/>
              </w:rPr>
              <w:t xml:space="preserve"> год</w:t>
            </w:r>
          </w:p>
        </w:tc>
        <w:tc>
          <w:tcPr>
            <w:tcW w:w="1417" w:type="dxa"/>
            <w:vMerge/>
            <w:hideMark/>
          </w:tcPr>
          <w:p w:rsidR="00653AFA" w:rsidRPr="00C01409" w:rsidRDefault="00653AFA" w:rsidP="00653AFA">
            <w:pPr>
              <w:rPr>
                <w:rFonts w:cs="Times New Roman"/>
                <w:sz w:val="16"/>
                <w:szCs w:val="16"/>
              </w:rPr>
            </w:pPr>
          </w:p>
        </w:tc>
        <w:tc>
          <w:tcPr>
            <w:tcW w:w="992" w:type="dxa"/>
            <w:vMerge/>
            <w:hideMark/>
          </w:tcPr>
          <w:p w:rsidR="00653AFA" w:rsidRPr="00C01409" w:rsidRDefault="00653AFA" w:rsidP="00653AFA">
            <w:pPr>
              <w:rPr>
                <w:rFonts w:cs="Times New Roman"/>
                <w:sz w:val="16"/>
                <w:szCs w:val="16"/>
              </w:rPr>
            </w:pPr>
          </w:p>
        </w:tc>
      </w:tr>
      <w:tr w:rsidR="00653AFA" w:rsidRPr="00C01409" w:rsidTr="00C00A6A">
        <w:trPr>
          <w:trHeight w:val="20"/>
        </w:trPr>
        <w:tc>
          <w:tcPr>
            <w:tcW w:w="590" w:type="dxa"/>
          </w:tcPr>
          <w:p w:rsidR="00653AFA" w:rsidRPr="00C01409" w:rsidRDefault="00653AFA" w:rsidP="00653AFA">
            <w:pPr>
              <w:jc w:val="center"/>
              <w:rPr>
                <w:rFonts w:cs="Times New Roman"/>
                <w:i/>
                <w:iCs/>
                <w:sz w:val="16"/>
                <w:szCs w:val="16"/>
              </w:rPr>
            </w:pPr>
            <w:r w:rsidRPr="00C01409">
              <w:rPr>
                <w:rFonts w:cs="Times New Roman"/>
                <w:i/>
                <w:iCs/>
                <w:sz w:val="16"/>
                <w:szCs w:val="16"/>
              </w:rPr>
              <w:t>1.</w:t>
            </w:r>
          </w:p>
        </w:tc>
        <w:tc>
          <w:tcPr>
            <w:tcW w:w="2953" w:type="dxa"/>
          </w:tcPr>
          <w:p w:rsidR="00653AFA" w:rsidRPr="00C01409" w:rsidRDefault="00653AFA" w:rsidP="00653AFA">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i/>
                <w:iCs/>
                <w:sz w:val="16"/>
                <w:szCs w:val="16"/>
              </w:rPr>
            </w:pPr>
            <w:r w:rsidRPr="00C01409">
              <w:rPr>
                <w:rFonts w:cs="Times New Roman"/>
                <w:i/>
                <w:iCs/>
                <w:sz w:val="16"/>
                <w:szCs w:val="16"/>
              </w:rPr>
              <w:t>2020-202</w:t>
            </w:r>
            <w:r w:rsidR="000122CC">
              <w:rPr>
                <w:rFonts w:cs="Times New Roman"/>
                <w:i/>
                <w:iCs/>
                <w:sz w:val="16"/>
                <w:szCs w:val="16"/>
              </w:rPr>
              <w:t>5</w:t>
            </w:r>
          </w:p>
        </w:tc>
        <w:tc>
          <w:tcPr>
            <w:tcW w:w="1343" w:type="dxa"/>
          </w:tcPr>
          <w:p w:rsidR="00653AFA" w:rsidRPr="00C01409" w:rsidRDefault="00653AFA" w:rsidP="00653AFA">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653AFA">
            <w:pPr>
              <w:rPr>
                <w:rFonts w:cs="Times New Roman"/>
                <w:sz w:val="16"/>
                <w:szCs w:val="16"/>
              </w:rPr>
            </w:pPr>
            <w:r w:rsidRPr="00C01409">
              <w:rPr>
                <w:rFonts w:cs="Times New Roman"/>
                <w:sz w:val="16"/>
                <w:szCs w:val="16"/>
              </w:rPr>
              <w:t>1.1.</w:t>
            </w:r>
          </w:p>
        </w:tc>
        <w:tc>
          <w:tcPr>
            <w:tcW w:w="2953" w:type="dxa"/>
          </w:tcPr>
          <w:p w:rsidR="00653AFA" w:rsidRPr="00C01409" w:rsidRDefault="00653AFA" w:rsidP="00653AFA">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653AFA">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1.3.</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sz w:val="16"/>
                <w:szCs w:val="16"/>
              </w:rPr>
            </w:pPr>
            <w:r w:rsidRPr="00C01409">
              <w:rPr>
                <w:sz w:val="16"/>
                <w:szCs w:val="16"/>
              </w:rPr>
              <w:t>Повышение качества и уровня жизни</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1.4.</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01.05. Разработка, согласование и утверждение в муниципальном образовании Московской области схем размещения </w:t>
            </w:r>
            <w:r w:rsidRPr="00C01409">
              <w:rPr>
                <w:rFonts w:cs="Times New Roman"/>
                <w:sz w:val="16"/>
                <w:szCs w:val="16"/>
              </w:rPr>
              <w:lastRenderedPageBreak/>
              <w:t>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lastRenderedPageBreak/>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Повышение качества</w:t>
            </w:r>
            <w:r w:rsidRPr="00C01409">
              <w:rPr>
                <w:rFonts w:cs="Times New Roman"/>
                <w:sz w:val="16"/>
                <w:szCs w:val="16"/>
              </w:rPr>
              <w:br/>
              <w:t>торгового</w:t>
            </w:r>
            <w:r w:rsidRPr="00C01409">
              <w:rPr>
                <w:rFonts w:cs="Times New Roman"/>
                <w:sz w:val="16"/>
                <w:szCs w:val="16"/>
              </w:rPr>
              <w:br/>
              <w:t>обслужива</w:t>
            </w:r>
            <w:r w:rsidRPr="00C01409">
              <w:rPr>
                <w:rFonts w:cs="Times New Roman"/>
                <w:sz w:val="16"/>
                <w:szCs w:val="16"/>
              </w:rPr>
              <w:lastRenderedPageBreak/>
              <w:t>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lastRenderedPageBreak/>
              <w:t>1.5.</w:t>
            </w:r>
          </w:p>
        </w:tc>
        <w:tc>
          <w:tcPr>
            <w:tcW w:w="2953" w:type="dxa"/>
          </w:tcPr>
          <w:p w:rsidR="00653AFA" w:rsidRPr="00254606" w:rsidRDefault="00653AFA" w:rsidP="00F6039F">
            <w:pPr>
              <w:autoSpaceDE w:val="0"/>
              <w:autoSpaceDN w:val="0"/>
              <w:adjustRightInd w:val="0"/>
              <w:rPr>
                <w:sz w:val="16"/>
                <w:szCs w:val="16"/>
              </w:rPr>
            </w:pPr>
            <w:r w:rsidRPr="00254606">
              <w:rPr>
                <w:sz w:val="16"/>
                <w:szCs w:val="16"/>
              </w:rPr>
              <w:t>Мероприятие 01.06</w:t>
            </w:r>
          </w:p>
          <w:p w:rsidR="00653AFA" w:rsidRPr="00254606" w:rsidRDefault="00653AFA"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653AFA" w:rsidRPr="00254606" w:rsidRDefault="00653AFA" w:rsidP="00F6039F">
            <w:pPr>
              <w:rPr>
                <w:rFonts w:cs="Times New Roman"/>
                <w:i/>
                <w:sz w:val="16"/>
                <w:szCs w:val="16"/>
              </w:rPr>
            </w:pPr>
            <w:r w:rsidRPr="00254606">
              <w:rPr>
                <w:sz w:val="16"/>
                <w:szCs w:val="16"/>
              </w:rPr>
              <w:t>городского округа услугами связи, общественного питания, торговли и бытового обслуживания</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1.6.</w:t>
            </w:r>
          </w:p>
        </w:tc>
        <w:tc>
          <w:tcPr>
            <w:tcW w:w="2953" w:type="dxa"/>
          </w:tcPr>
          <w:p w:rsidR="00653AFA" w:rsidRPr="00254606" w:rsidRDefault="00653AFA" w:rsidP="00F6039F">
            <w:pPr>
              <w:rPr>
                <w:rFonts w:cs="Times New Roman"/>
                <w:i/>
                <w:sz w:val="16"/>
                <w:szCs w:val="16"/>
              </w:rPr>
            </w:pPr>
            <w:r w:rsidRPr="00254606">
              <w:rPr>
                <w:rFonts w:ascii="Times New Roman CYR" w:eastAsiaTheme="minorEastAsia" w:hAnsi="Times New Roman CYR" w:cs="Times New Roman CYR"/>
                <w:sz w:val="16"/>
                <w:szCs w:val="16"/>
              </w:rPr>
              <w:t>Мероприятие 01.07 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мест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1087"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946" w:type="dxa"/>
          </w:tcPr>
          <w:p w:rsidR="00653AFA" w:rsidRPr="00C01409" w:rsidRDefault="00653AFA" w:rsidP="00F6039F">
            <w:pPr>
              <w:jc w:val="center"/>
              <w:rPr>
                <w:rFonts w:cs="Times New Roman"/>
                <w:sz w:val="16"/>
                <w:szCs w:val="16"/>
              </w:rPr>
            </w:pPr>
            <w:r>
              <w:rPr>
                <w:rFonts w:cs="Times New Roman"/>
                <w:sz w:val="16"/>
                <w:szCs w:val="16"/>
              </w:rPr>
              <w:t>-</w:t>
            </w:r>
          </w:p>
        </w:tc>
        <w:tc>
          <w:tcPr>
            <w:tcW w:w="3969" w:type="dxa"/>
            <w:gridSpan w:val="4"/>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0122CC" w:rsidRPr="00A01680" w:rsidTr="00C00A6A">
        <w:trPr>
          <w:trHeight w:val="20"/>
        </w:trPr>
        <w:tc>
          <w:tcPr>
            <w:tcW w:w="590" w:type="dxa"/>
          </w:tcPr>
          <w:p w:rsidR="000122CC" w:rsidRDefault="000122CC" w:rsidP="000122CC">
            <w:pPr>
              <w:rPr>
                <w:rFonts w:cs="Times New Roman"/>
                <w:sz w:val="16"/>
                <w:szCs w:val="16"/>
              </w:rPr>
            </w:pPr>
            <w:r>
              <w:rPr>
                <w:rFonts w:cs="Times New Roman"/>
                <w:sz w:val="16"/>
                <w:szCs w:val="16"/>
              </w:rPr>
              <w:t>1.7.</w:t>
            </w:r>
          </w:p>
        </w:tc>
        <w:tc>
          <w:tcPr>
            <w:tcW w:w="2953" w:type="dxa"/>
          </w:tcPr>
          <w:p w:rsidR="000122CC"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Мероприятие 01.08</w:t>
            </w:r>
          </w:p>
          <w:p w:rsidR="000122CC" w:rsidRPr="00254606"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Предоставление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10" w:type="dxa"/>
          </w:tcPr>
          <w:p w:rsidR="000122CC" w:rsidRDefault="000122CC" w:rsidP="000122CC">
            <w:pPr>
              <w:jc w:val="center"/>
              <w:rPr>
                <w:rFonts w:cs="Times New Roman"/>
                <w:sz w:val="16"/>
                <w:szCs w:val="16"/>
              </w:rPr>
            </w:pPr>
            <w:r>
              <w:rPr>
                <w:rFonts w:cs="Times New Roman"/>
                <w:sz w:val="16"/>
                <w:szCs w:val="16"/>
              </w:rPr>
              <w:t>2022-2025</w:t>
            </w:r>
          </w:p>
        </w:tc>
        <w:tc>
          <w:tcPr>
            <w:tcW w:w="1343" w:type="dxa"/>
          </w:tcPr>
          <w:p w:rsidR="000122CC" w:rsidRPr="00C01409" w:rsidRDefault="000122CC" w:rsidP="000122CC">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0122CC" w:rsidRDefault="000122CC" w:rsidP="000122CC">
            <w:pPr>
              <w:jc w:val="center"/>
              <w:rPr>
                <w:rFonts w:cs="Times New Roman"/>
                <w:sz w:val="16"/>
                <w:szCs w:val="16"/>
              </w:rPr>
            </w:pPr>
            <w:r>
              <w:rPr>
                <w:rFonts w:cs="Times New Roman"/>
                <w:sz w:val="16"/>
                <w:szCs w:val="16"/>
              </w:rPr>
              <w:t>-</w:t>
            </w:r>
          </w:p>
        </w:tc>
        <w:tc>
          <w:tcPr>
            <w:tcW w:w="1087" w:type="dxa"/>
            <w:gridSpan w:val="2"/>
          </w:tcPr>
          <w:p w:rsidR="000122CC" w:rsidRDefault="000122CC" w:rsidP="000122CC">
            <w:pPr>
              <w:jc w:val="center"/>
              <w:rPr>
                <w:rFonts w:cs="Times New Roman"/>
                <w:sz w:val="16"/>
                <w:szCs w:val="16"/>
              </w:rPr>
            </w:pPr>
            <w:r>
              <w:rPr>
                <w:rFonts w:cs="Times New Roman"/>
                <w:sz w:val="16"/>
                <w:szCs w:val="16"/>
              </w:rPr>
              <w:t>-</w:t>
            </w:r>
          </w:p>
        </w:tc>
        <w:tc>
          <w:tcPr>
            <w:tcW w:w="946" w:type="dxa"/>
          </w:tcPr>
          <w:p w:rsidR="000122CC" w:rsidRDefault="000122CC" w:rsidP="000122CC">
            <w:pPr>
              <w:jc w:val="center"/>
              <w:rPr>
                <w:rFonts w:cs="Times New Roman"/>
                <w:sz w:val="16"/>
                <w:szCs w:val="16"/>
              </w:rPr>
            </w:pPr>
            <w:r>
              <w:rPr>
                <w:rFonts w:cs="Times New Roman"/>
                <w:sz w:val="16"/>
                <w:szCs w:val="16"/>
              </w:rPr>
              <w:t>-</w:t>
            </w:r>
          </w:p>
        </w:tc>
        <w:tc>
          <w:tcPr>
            <w:tcW w:w="3969" w:type="dxa"/>
            <w:gridSpan w:val="4"/>
          </w:tcPr>
          <w:p w:rsidR="000122CC" w:rsidRPr="00C01409" w:rsidRDefault="000122CC" w:rsidP="000122CC">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0122CC" w:rsidRPr="00C01409" w:rsidRDefault="000122CC" w:rsidP="000122CC">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0122CC" w:rsidRPr="00C01409" w:rsidRDefault="000122CC" w:rsidP="000122CC">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A01680" w:rsidRDefault="00653AFA" w:rsidP="00F6039F">
            <w:pPr>
              <w:rPr>
                <w:rFonts w:cs="Times New Roman"/>
                <w:i/>
                <w:sz w:val="16"/>
                <w:szCs w:val="16"/>
              </w:rPr>
            </w:pPr>
            <w:r w:rsidRPr="00A01680">
              <w:rPr>
                <w:rFonts w:cs="Times New Roman"/>
                <w:i/>
                <w:sz w:val="16"/>
                <w:szCs w:val="16"/>
              </w:rPr>
              <w:t>2.</w:t>
            </w:r>
          </w:p>
        </w:tc>
        <w:tc>
          <w:tcPr>
            <w:tcW w:w="2953" w:type="dxa"/>
          </w:tcPr>
          <w:p w:rsidR="00653AFA" w:rsidRPr="00A01680" w:rsidRDefault="00653AFA"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653AFA" w:rsidRPr="00A01680" w:rsidRDefault="00653AFA" w:rsidP="000122CC">
            <w:pPr>
              <w:jc w:val="center"/>
              <w:rPr>
                <w:rFonts w:cs="Times New Roman"/>
                <w:i/>
                <w:sz w:val="16"/>
                <w:szCs w:val="16"/>
              </w:rPr>
            </w:pPr>
            <w:r w:rsidRPr="00A01680">
              <w:rPr>
                <w:rFonts w:cs="Times New Roman"/>
                <w:i/>
                <w:sz w:val="16"/>
                <w:szCs w:val="16"/>
              </w:rPr>
              <w:t>2020-202</w:t>
            </w:r>
            <w:r w:rsidR="000122CC">
              <w:rPr>
                <w:rFonts w:cs="Times New Roman"/>
                <w:i/>
                <w:sz w:val="16"/>
                <w:szCs w:val="16"/>
              </w:rPr>
              <w:t>5</w:t>
            </w:r>
          </w:p>
        </w:tc>
        <w:tc>
          <w:tcPr>
            <w:tcW w:w="1343" w:type="dxa"/>
          </w:tcPr>
          <w:p w:rsidR="00653AFA" w:rsidRPr="00A01680" w:rsidRDefault="00653AFA"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7371" w:type="dxa"/>
            <w:gridSpan w:val="9"/>
          </w:tcPr>
          <w:p w:rsidR="00653AFA" w:rsidRPr="00A01680" w:rsidRDefault="00653AFA"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A01680" w:rsidRDefault="00653AFA"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992" w:type="dxa"/>
          </w:tcPr>
          <w:p w:rsidR="00653AFA" w:rsidRPr="00A01680" w:rsidRDefault="00653AFA" w:rsidP="00F6039F">
            <w:pPr>
              <w:jc w:val="center"/>
              <w:rPr>
                <w:rFonts w:cs="Times New Roman"/>
                <w:i/>
                <w:sz w:val="16"/>
                <w:szCs w:val="16"/>
              </w:rPr>
            </w:pPr>
            <w:r w:rsidRPr="00A01680">
              <w:rPr>
                <w:rFonts w:cs="Times New Roman"/>
                <w:i/>
                <w:sz w:val="16"/>
                <w:szCs w:val="16"/>
              </w:rPr>
              <w:t>Х</w:t>
            </w:r>
          </w:p>
        </w:tc>
      </w:tr>
      <w:tr w:rsidR="00653AFA" w:rsidRPr="00C01409" w:rsidTr="00C00A6A">
        <w:trPr>
          <w:trHeight w:val="815"/>
        </w:trPr>
        <w:tc>
          <w:tcPr>
            <w:tcW w:w="590" w:type="dxa"/>
          </w:tcPr>
          <w:p w:rsidR="00653AFA" w:rsidRPr="00C01409" w:rsidRDefault="00653AFA" w:rsidP="00F6039F">
            <w:pPr>
              <w:rPr>
                <w:rFonts w:cs="Times New Roman"/>
                <w:sz w:val="16"/>
                <w:szCs w:val="16"/>
              </w:rPr>
            </w:pPr>
            <w:r w:rsidRPr="00C01409">
              <w:rPr>
                <w:rFonts w:cs="Times New Roman"/>
                <w:sz w:val="16"/>
                <w:szCs w:val="16"/>
              </w:rPr>
              <w:t>2.1.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3.</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 xml:space="preserve">Основное мероприятие 03. Развитие сферы бытовых услуг на территории </w:t>
            </w:r>
            <w:r w:rsidRPr="00C01409">
              <w:rPr>
                <w:rFonts w:cs="Times New Roman"/>
                <w:i/>
                <w:sz w:val="16"/>
                <w:szCs w:val="16"/>
              </w:rPr>
              <w:lastRenderedPageBreak/>
              <w:t>муниципального образования Московской области</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lastRenderedPageBreak/>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w:t>
            </w:r>
            <w:r w:rsidRPr="00C01409">
              <w:rPr>
                <w:rFonts w:cs="Times New Roman"/>
                <w:i/>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3.2.</w:t>
            </w:r>
          </w:p>
        </w:tc>
        <w:tc>
          <w:tcPr>
            <w:tcW w:w="2953" w:type="dxa"/>
          </w:tcPr>
          <w:p w:rsidR="00653AFA" w:rsidRPr="00C01409" w:rsidRDefault="00653AFA" w:rsidP="00F6039F">
            <w:pPr>
              <w:widowControl w:val="0"/>
              <w:autoSpaceDE w:val="0"/>
              <w:autoSpaceDN w:val="0"/>
              <w:adjustRightInd w:val="0"/>
              <w:rPr>
                <w:sz w:val="16"/>
                <w:szCs w:val="18"/>
              </w:rPr>
            </w:pPr>
            <w:r w:rsidRPr="00C01409">
              <w:rPr>
                <w:sz w:val="16"/>
                <w:szCs w:val="18"/>
              </w:rPr>
              <w:t>Мероприятие 03.02</w:t>
            </w:r>
          </w:p>
          <w:p w:rsidR="00653AFA" w:rsidRPr="00C01409" w:rsidRDefault="00653AFA" w:rsidP="00F6039F">
            <w:pPr>
              <w:widowControl w:val="0"/>
              <w:autoSpaceDE w:val="0"/>
              <w:autoSpaceDN w:val="0"/>
              <w:adjustRightInd w:val="0"/>
              <w:rPr>
                <w:sz w:val="16"/>
                <w:szCs w:val="18"/>
              </w:rPr>
            </w:pPr>
            <w:r w:rsidRPr="00C01409">
              <w:rPr>
                <w:sz w:val="16"/>
                <w:szCs w:val="18"/>
              </w:rPr>
              <w:t>Развитие объектов дорожного и придорожного сервиса (автосервис, шиномонтаж, автомойка, автокомплекс, автотехцентр) (далее – ОДС) 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2021-202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653AFA" w:rsidRPr="00C01409" w:rsidRDefault="00653AFA"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4.</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371" w:type="dxa"/>
            <w:gridSpan w:val="9"/>
          </w:tcPr>
          <w:p w:rsidR="00653AFA" w:rsidRPr="00C01409" w:rsidRDefault="00653AFA"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417" w:type="dxa"/>
          </w:tcPr>
          <w:p w:rsidR="00653AFA" w:rsidRPr="00C01409" w:rsidRDefault="00653AFA" w:rsidP="00F6039F">
            <w:pPr>
              <w:jc w:val="center"/>
              <w:rPr>
                <w:i/>
                <w:sz w:val="16"/>
                <w:szCs w:val="16"/>
              </w:rPr>
            </w:pPr>
            <w:r w:rsidRPr="00C01409">
              <w:rPr>
                <w:i/>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прав </w:t>
            </w:r>
            <w:r w:rsidRPr="00C01409">
              <w:rPr>
                <w:rFonts w:cs="Times New Roman"/>
                <w:sz w:val="16"/>
                <w:szCs w:val="16"/>
              </w:rPr>
              <w:lastRenderedPageBreak/>
              <w:t>потребителей</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lastRenderedPageBreak/>
              <w:t>4.2.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653AFA" w:rsidRPr="00C01409" w:rsidRDefault="00653AFA"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0122CC" w:rsidRPr="00C01409" w:rsidTr="00C00A6A">
        <w:trPr>
          <w:trHeight w:val="355"/>
        </w:trPr>
        <w:tc>
          <w:tcPr>
            <w:tcW w:w="590" w:type="dxa"/>
            <w:vMerge w:val="restart"/>
          </w:tcPr>
          <w:p w:rsidR="000122CC" w:rsidRPr="00C01409" w:rsidRDefault="000122CC" w:rsidP="000122CC">
            <w:pPr>
              <w:jc w:val="center"/>
              <w:rPr>
                <w:rFonts w:cs="Times New Roman"/>
                <w:sz w:val="16"/>
                <w:szCs w:val="16"/>
              </w:rPr>
            </w:pPr>
          </w:p>
        </w:tc>
        <w:tc>
          <w:tcPr>
            <w:tcW w:w="2953" w:type="dxa"/>
            <w:vMerge w:val="restart"/>
          </w:tcPr>
          <w:p w:rsidR="000122CC" w:rsidRPr="00C01409" w:rsidRDefault="000122CC" w:rsidP="000122CC">
            <w:pPr>
              <w:rPr>
                <w:rFonts w:cs="Times New Roman"/>
                <w:sz w:val="16"/>
                <w:szCs w:val="16"/>
              </w:rPr>
            </w:pPr>
            <w:r w:rsidRPr="00C01409">
              <w:rPr>
                <w:rFonts w:cs="Times New Roman"/>
                <w:sz w:val="16"/>
                <w:szCs w:val="16"/>
              </w:rPr>
              <w:t>Всего по Подпрограмме</w:t>
            </w:r>
          </w:p>
        </w:tc>
        <w:tc>
          <w:tcPr>
            <w:tcW w:w="1210" w:type="dxa"/>
            <w:vMerge w:val="restart"/>
          </w:tcPr>
          <w:p w:rsidR="000122CC" w:rsidRPr="00C01409" w:rsidRDefault="000122CC" w:rsidP="000122CC">
            <w:pPr>
              <w:rPr>
                <w:rFonts w:cs="Times New Roman"/>
                <w:sz w:val="16"/>
                <w:szCs w:val="16"/>
              </w:rPr>
            </w:pPr>
          </w:p>
        </w:tc>
        <w:tc>
          <w:tcPr>
            <w:tcW w:w="1343" w:type="dxa"/>
          </w:tcPr>
          <w:p w:rsidR="000122CC" w:rsidRPr="00C01409" w:rsidRDefault="000122CC" w:rsidP="000122CC">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val="restart"/>
          </w:tcPr>
          <w:p w:rsidR="000122CC" w:rsidRPr="00C01409" w:rsidRDefault="000122CC" w:rsidP="000122CC">
            <w:pPr>
              <w:jc w:val="center"/>
              <w:rPr>
                <w:rFonts w:cs="Times New Roman"/>
                <w:sz w:val="16"/>
                <w:szCs w:val="16"/>
              </w:rPr>
            </w:pPr>
          </w:p>
        </w:tc>
      </w:tr>
      <w:tr w:rsidR="000122CC" w:rsidRPr="00C01409" w:rsidTr="00C00A6A">
        <w:trPr>
          <w:trHeight w:val="557"/>
        </w:trPr>
        <w:tc>
          <w:tcPr>
            <w:tcW w:w="590" w:type="dxa"/>
            <w:vMerge/>
          </w:tcPr>
          <w:p w:rsidR="000122CC" w:rsidRPr="00C01409" w:rsidRDefault="000122CC" w:rsidP="000122CC">
            <w:pPr>
              <w:jc w:val="center"/>
              <w:rPr>
                <w:rFonts w:cs="Times New Roman"/>
                <w:sz w:val="16"/>
                <w:szCs w:val="16"/>
              </w:rPr>
            </w:pPr>
          </w:p>
        </w:tc>
        <w:tc>
          <w:tcPr>
            <w:tcW w:w="2953" w:type="dxa"/>
            <w:vMerge/>
          </w:tcPr>
          <w:p w:rsidR="000122CC" w:rsidRPr="00C01409" w:rsidRDefault="000122CC" w:rsidP="000122CC">
            <w:pPr>
              <w:rPr>
                <w:rFonts w:cs="Times New Roman"/>
                <w:sz w:val="16"/>
                <w:szCs w:val="16"/>
              </w:rPr>
            </w:pPr>
          </w:p>
        </w:tc>
        <w:tc>
          <w:tcPr>
            <w:tcW w:w="1210" w:type="dxa"/>
            <w:vMerge/>
          </w:tcPr>
          <w:p w:rsidR="000122CC" w:rsidRPr="00C01409" w:rsidRDefault="000122CC" w:rsidP="000122CC">
            <w:pPr>
              <w:rPr>
                <w:rFonts w:cs="Times New Roman"/>
                <w:sz w:val="16"/>
                <w:szCs w:val="16"/>
              </w:rPr>
            </w:pPr>
          </w:p>
        </w:tc>
        <w:tc>
          <w:tcPr>
            <w:tcW w:w="1343" w:type="dxa"/>
          </w:tcPr>
          <w:p w:rsidR="000122CC" w:rsidRPr="00A01680" w:rsidRDefault="000122CC" w:rsidP="000122CC">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tcPr>
          <w:p w:rsidR="000122CC" w:rsidRPr="00C01409" w:rsidRDefault="000122CC" w:rsidP="000122CC">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p>
    <w:p w:rsidR="00310E68" w:rsidRPr="00C01409" w:rsidRDefault="00310E68" w:rsidP="00310E68">
      <w:pPr>
        <w:ind w:left="13104" w:firstLine="624"/>
        <w:rPr>
          <w:rFonts w:cs="Times New Roman"/>
        </w:rPr>
      </w:pPr>
    </w:p>
    <w:p w:rsidR="00310E68" w:rsidRPr="00C01409" w:rsidRDefault="00310E68" w:rsidP="00310E68">
      <w:pPr>
        <w:ind w:left="13104" w:firstLine="624"/>
        <w:rPr>
          <w:rFonts w:cs="Times New Roman"/>
        </w:rPr>
      </w:pPr>
      <w:bookmarkStart w:id="1" w:name="_GoBack"/>
      <w:bookmarkEnd w:id="1"/>
    </w:p>
    <w:sectPr w:rsidR="00310E68" w:rsidRPr="00C01409" w:rsidSect="00F6039F">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976" w:rsidRDefault="00821976">
      <w:r>
        <w:separator/>
      </w:r>
    </w:p>
  </w:endnote>
  <w:endnote w:type="continuationSeparator" w:id="0">
    <w:p w:rsidR="00821976" w:rsidRDefault="0082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01" w:rsidRDefault="00CC6F01">
    <w:pPr>
      <w:pStyle w:val="afd"/>
      <w:jc w:val="center"/>
    </w:pPr>
  </w:p>
  <w:p w:rsidR="00CC6F01" w:rsidRDefault="00CC6F01">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01" w:rsidRPr="00641730" w:rsidRDefault="00CC6F01">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01" w:rsidRPr="00641730" w:rsidRDefault="00CC6F01">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976" w:rsidRDefault="00821976">
      <w:r>
        <w:separator/>
      </w:r>
    </w:p>
  </w:footnote>
  <w:footnote w:type="continuationSeparator" w:id="0">
    <w:p w:rsidR="00821976" w:rsidRDefault="00821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01" w:rsidRDefault="00CC6F01">
    <w:pPr>
      <w:pStyle w:val="a8"/>
      <w:jc w:val="center"/>
    </w:pPr>
  </w:p>
  <w:p w:rsidR="00CC6F01" w:rsidRDefault="00CC6F0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CC6F01" w:rsidRDefault="00CC6F01">
        <w:pPr>
          <w:pStyle w:val="a8"/>
          <w:jc w:val="center"/>
        </w:pPr>
        <w:r>
          <w:fldChar w:fldCharType="begin"/>
        </w:r>
        <w:r>
          <w:instrText>PAGE   \* MERGEFORMAT</w:instrText>
        </w:r>
        <w:r>
          <w:fldChar w:fldCharType="separate"/>
        </w:r>
        <w:r w:rsidR="0035133D">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CC6F01" w:rsidRDefault="00CC6F01">
        <w:pPr>
          <w:pStyle w:val="a8"/>
          <w:jc w:val="center"/>
        </w:pPr>
        <w:r>
          <w:fldChar w:fldCharType="begin"/>
        </w:r>
        <w:r>
          <w:instrText>PAGE   \* MERGEFORMAT</w:instrText>
        </w:r>
        <w:r>
          <w:fldChar w:fldCharType="separate"/>
        </w:r>
        <w:r w:rsidR="0035133D">
          <w:rPr>
            <w:noProof/>
          </w:rPr>
          <w:t>2</w:t>
        </w:r>
        <w:r>
          <w:rPr>
            <w:noProof/>
          </w:rPr>
          <w:fldChar w:fldCharType="end"/>
        </w:r>
      </w:p>
    </w:sdtContent>
  </w:sdt>
  <w:p w:rsidR="00CC6F01" w:rsidRDefault="00CC6F01">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01" w:rsidRDefault="00CC6F01">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CC6F01" w:rsidRDefault="00CC6F01">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CC6F01" w:rsidRPr="00B42A28" w:rsidRDefault="00CC6F01" w:rsidP="00F6039F">
        <w:pPr>
          <w:pStyle w:val="a8"/>
          <w:jc w:val="center"/>
        </w:pPr>
        <w:r>
          <w:fldChar w:fldCharType="begin"/>
        </w:r>
        <w:r>
          <w:instrText>PAGE   \* MERGEFORMAT</w:instrText>
        </w:r>
        <w:r>
          <w:fldChar w:fldCharType="separate"/>
        </w:r>
        <w:r w:rsidR="0035133D">
          <w:rPr>
            <w:noProof/>
          </w:rPr>
          <w:t>40</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01" w:rsidRDefault="00CC6F01">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01" w:rsidRDefault="00CC6F01">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CC6F01" w:rsidRDefault="00CC6F01">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CC6F01" w:rsidRPr="00B42A28" w:rsidRDefault="00CC6F01" w:rsidP="00F6039F">
        <w:pPr>
          <w:pStyle w:val="a8"/>
          <w:jc w:val="center"/>
        </w:pPr>
        <w:r>
          <w:fldChar w:fldCharType="begin"/>
        </w:r>
        <w:r>
          <w:instrText>PAGE   \* MERGEFORMAT</w:instrText>
        </w:r>
        <w:r>
          <w:fldChar w:fldCharType="separate"/>
        </w:r>
        <w:r w:rsidR="0035133D">
          <w:rPr>
            <w:noProof/>
          </w:rPr>
          <w:t>65</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01" w:rsidRDefault="00CC6F0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373BA"/>
    <w:rsid w:val="00043EE9"/>
    <w:rsid w:val="000600D5"/>
    <w:rsid w:val="00067B44"/>
    <w:rsid w:val="000A41CE"/>
    <w:rsid w:val="000C09A6"/>
    <w:rsid w:val="000F4FA3"/>
    <w:rsid w:val="00125556"/>
    <w:rsid w:val="00135D18"/>
    <w:rsid w:val="00141282"/>
    <w:rsid w:val="00175DAB"/>
    <w:rsid w:val="001961FC"/>
    <w:rsid w:val="001E41D8"/>
    <w:rsid w:val="001F5F44"/>
    <w:rsid w:val="00216967"/>
    <w:rsid w:val="00235F8B"/>
    <w:rsid w:val="00236E26"/>
    <w:rsid w:val="00251CCB"/>
    <w:rsid w:val="00273625"/>
    <w:rsid w:val="00283686"/>
    <w:rsid w:val="002A205F"/>
    <w:rsid w:val="002C16BA"/>
    <w:rsid w:val="002C2ABF"/>
    <w:rsid w:val="002E796F"/>
    <w:rsid w:val="002F23A1"/>
    <w:rsid w:val="002F35A6"/>
    <w:rsid w:val="00310E68"/>
    <w:rsid w:val="00321090"/>
    <w:rsid w:val="0035133D"/>
    <w:rsid w:val="0036449A"/>
    <w:rsid w:val="003A6A3A"/>
    <w:rsid w:val="003B6483"/>
    <w:rsid w:val="003B6B44"/>
    <w:rsid w:val="003F31D4"/>
    <w:rsid w:val="00403261"/>
    <w:rsid w:val="00453DA7"/>
    <w:rsid w:val="00491D93"/>
    <w:rsid w:val="00496A1C"/>
    <w:rsid w:val="004C0E0E"/>
    <w:rsid w:val="004D017C"/>
    <w:rsid w:val="004F1750"/>
    <w:rsid w:val="004F64B3"/>
    <w:rsid w:val="005024F6"/>
    <w:rsid w:val="00504369"/>
    <w:rsid w:val="00515EC2"/>
    <w:rsid w:val="0058294C"/>
    <w:rsid w:val="005B5B19"/>
    <w:rsid w:val="005C38AB"/>
    <w:rsid w:val="005D21D8"/>
    <w:rsid w:val="005E5DA9"/>
    <w:rsid w:val="005E75CE"/>
    <w:rsid w:val="00653AFA"/>
    <w:rsid w:val="00654D06"/>
    <w:rsid w:val="0065509E"/>
    <w:rsid w:val="006937ED"/>
    <w:rsid w:val="006B46B4"/>
    <w:rsid w:val="006D7BFE"/>
    <w:rsid w:val="006F7B9A"/>
    <w:rsid w:val="00707F66"/>
    <w:rsid w:val="0072132E"/>
    <w:rsid w:val="0072220D"/>
    <w:rsid w:val="00746D8B"/>
    <w:rsid w:val="0075001F"/>
    <w:rsid w:val="007553DF"/>
    <w:rsid w:val="0076193E"/>
    <w:rsid w:val="00770635"/>
    <w:rsid w:val="00772309"/>
    <w:rsid w:val="00776948"/>
    <w:rsid w:val="00777913"/>
    <w:rsid w:val="007E0363"/>
    <w:rsid w:val="007F698B"/>
    <w:rsid w:val="00821976"/>
    <w:rsid w:val="00842B01"/>
    <w:rsid w:val="00845208"/>
    <w:rsid w:val="008676B5"/>
    <w:rsid w:val="008808E0"/>
    <w:rsid w:val="008855D4"/>
    <w:rsid w:val="008B011D"/>
    <w:rsid w:val="008B391A"/>
    <w:rsid w:val="008F5725"/>
    <w:rsid w:val="008F7C09"/>
    <w:rsid w:val="00923868"/>
    <w:rsid w:val="00931221"/>
    <w:rsid w:val="009506DD"/>
    <w:rsid w:val="00961891"/>
    <w:rsid w:val="00983794"/>
    <w:rsid w:val="009A19A1"/>
    <w:rsid w:val="009B13C3"/>
    <w:rsid w:val="009C4F1D"/>
    <w:rsid w:val="009C4F65"/>
    <w:rsid w:val="00A24F7D"/>
    <w:rsid w:val="00A3392B"/>
    <w:rsid w:val="00A37D17"/>
    <w:rsid w:val="00A5460C"/>
    <w:rsid w:val="00A5579C"/>
    <w:rsid w:val="00A66430"/>
    <w:rsid w:val="00A8176C"/>
    <w:rsid w:val="00AA2C4B"/>
    <w:rsid w:val="00AA4122"/>
    <w:rsid w:val="00AC4C04"/>
    <w:rsid w:val="00AD6D2A"/>
    <w:rsid w:val="00AD721A"/>
    <w:rsid w:val="00B03631"/>
    <w:rsid w:val="00B05C96"/>
    <w:rsid w:val="00B203F3"/>
    <w:rsid w:val="00B75C77"/>
    <w:rsid w:val="00B867A7"/>
    <w:rsid w:val="00BA592F"/>
    <w:rsid w:val="00BB7EB2"/>
    <w:rsid w:val="00BD07AC"/>
    <w:rsid w:val="00BE1403"/>
    <w:rsid w:val="00BF6853"/>
    <w:rsid w:val="00C00A6A"/>
    <w:rsid w:val="00C15259"/>
    <w:rsid w:val="00C51C8A"/>
    <w:rsid w:val="00C87C8E"/>
    <w:rsid w:val="00CB0D53"/>
    <w:rsid w:val="00CC6F01"/>
    <w:rsid w:val="00D303A0"/>
    <w:rsid w:val="00D344F0"/>
    <w:rsid w:val="00D45BDD"/>
    <w:rsid w:val="00D5049F"/>
    <w:rsid w:val="00DA0872"/>
    <w:rsid w:val="00DC35E4"/>
    <w:rsid w:val="00E00BC7"/>
    <w:rsid w:val="00E22BB9"/>
    <w:rsid w:val="00E25788"/>
    <w:rsid w:val="00E277D1"/>
    <w:rsid w:val="00E661BE"/>
    <w:rsid w:val="00E71F6B"/>
    <w:rsid w:val="00EA3774"/>
    <w:rsid w:val="00EB0892"/>
    <w:rsid w:val="00EB71BB"/>
    <w:rsid w:val="00EF3083"/>
    <w:rsid w:val="00EF340B"/>
    <w:rsid w:val="00EF5050"/>
    <w:rsid w:val="00F14D4C"/>
    <w:rsid w:val="00F317CA"/>
    <w:rsid w:val="00F53D6B"/>
    <w:rsid w:val="00F6039F"/>
    <w:rsid w:val="00F911DE"/>
    <w:rsid w:val="00FB12EC"/>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1BB3A-5F4A-4687-A1A0-3F4BF709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20501</Words>
  <Characters>116860</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cp:revision>
  <cp:lastPrinted>2022-12-15T06:53:00Z</cp:lastPrinted>
  <dcterms:created xsi:type="dcterms:W3CDTF">2023-01-30T13:34:00Z</dcterms:created>
  <dcterms:modified xsi:type="dcterms:W3CDTF">2023-01-30T13:34:00Z</dcterms:modified>
</cp:coreProperties>
</file>