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6E" w:rsidRPr="005C726E" w:rsidRDefault="005C726E" w:rsidP="005C726E">
      <w:pPr>
        <w:ind w:left="-1560" w:right="-567"/>
        <w:jc w:val="center"/>
        <w:rPr>
          <w:rFonts w:ascii="Times New Roman" w:hAnsi="Times New Roman" w:cs="Times New Roman"/>
        </w:rPr>
      </w:pPr>
      <w:r w:rsidRPr="005C72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6E" w:rsidRPr="005C726E" w:rsidRDefault="005C726E" w:rsidP="005C726E">
      <w:pPr>
        <w:ind w:left="-1560" w:right="-567" w:firstLine="1701"/>
        <w:rPr>
          <w:rFonts w:ascii="Times New Roman" w:hAnsi="Times New Roman" w:cs="Times New Roman"/>
          <w:b/>
        </w:rPr>
      </w:pPr>
      <w:r w:rsidRPr="005C726E">
        <w:rPr>
          <w:rFonts w:ascii="Times New Roman" w:hAnsi="Times New Roman" w:cs="Times New Roman"/>
        </w:rPr>
        <w:tab/>
      </w:r>
      <w:r w:rsidRPr="005C726E">
        <w:rPr>
          <w:rFonts w:ascii="Times New Roman" w:hAnsi="Times New Roman" w:cs="Times New Roman"/>
        </w:rPr>
        <w:tab/>
      </w:r>
    </w:p>
    <w:p w:rsidR="005C726E" w:rsidRPr="005C726E" w:rsidRDefault="005C726E" w:rsidP="005C726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726E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5C726E" w:rsidRPr="005C726E" w:rsidRDefault="005C726E" w:rsidP="005C726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C726E" w:rsidRPr="005C726E" w:rsidRDefault="005C726E" w:rsidP="005C726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726E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C726E" w:rsidRPr="005C726E" w:rsidRDefault="005C726E" w:rsidP="005C726E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C726E" w:rsidRPr="005C726E" w:rsidRDefault="005C726E" w:rsidP="005C726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5C726E">
        <w:rPr>
          <w:rFonts w:ascii="Times New Roman" w:hAnsi="Times New Roman" w:cs="Times New Roman"/>
          <w:b/>
          <w:sz w:val="44"/>
        </w:rPr>
        <w:t>ПОСТАНОВЛЕНИЕ</w:t>
      </w:r>
    </w:p>
    <w:p w:rsidR="005C726E" w:rsidRPr="005C726E" w:rsidRDefault="005C726E" w:rsidP="005C726E">
      <w:pPr>
        <w:ind w:left="-1560" w:right="-567"/>
        <w:jc w:val="center"/>
        <w:rPr>
          <w:rFonts w:ascii="Times New Roman" w:hAnsi="Times New Roman" w:cs="Times New Roman"/>
          <w:b/>
        </w:rPr>
      </w:pPr>
    </w:p>
    <w:p w:rsidR="005C726E" w:rsidRPr="005C726E" w:rsidRDefault="005C726E" w:rsidP="005C726E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5C726E">
        <w:rPr>
          <w:rFonts w:ascii="Times New Roman" w:hAnsi="Times New Roman" w:cs="Times New Roman"/>
        </w:rPr>
        <w:t xml:space="preserve">  _</w:t>
      </w:r>
      <w:r w:rsidR="00F61A3F" w:rsidRPr="00F61A3F">
        <w:rPr>
          <w:rFonts w:ascii="Times New Roman" w:hAnsi="Times New Roman" w:cs="Times New Roman"/>
          <w:u w:val="single"/>
        </w:rPr>
        <w:t>02.04.2018</w:t>
      </w:r>
      <w:r w:rsidRPr="005C726E">
        <w:rPr>
          <w:rFonts w:ascii="Times New Roman" w:hAnsi="Times New Roman" w:cs="Times New Roman"/>
        </w:rPr>
        <w:t>_ № _</w:t>
      </w:r>
      <w:r w:rsidR="00F61A3F" w:rsidRPr="00F61A3F">
        <w:rPr>
          <w:rFonts w:ascii="Times New Roman" w:hAnsi="Times New Roman" w:cs="Times New Roman"/>
          <w:u w:val="single"/>
        </w:rPr>
        <w:t>25</w:t>
      </w:r>
      <w:r w:rsidR="00CE30F5">
        <w:rPr>
          <w:rFonts w:ascii="Times New Roman" w:hAnsi="Times New Roman" w:cs="Times New Roman"/>
          <w:u w:val="single"/>
        </w:rPr>
        <w:t>6</w:t>
      </w:r>
      <w:r w:rsidR="00F61A3F" w:rsidRPr="00F61A3F">
        <w:rPr>
          <w:rFonts w:ascii="Times New Roman" w:hAnsi="Times New Roman" w:cs="Times New Roman"/>
          <w:u w:val="single"/>
        </w:rPr>
        <w:t>/4</w:t>
      </w:r>
      <w:r w:rsidRPr="005C726E">
        <w:rPr>
          <w:rFonts w:ascii="Times New Roman" w:hAnsi="Times New Roman" w:cs="Times New Roman"/>
        </w:rPr>
        <w:t>_</w:t>
      </w:r>
    </w:p>
    <w:p w:rsidR="00F773F6" w:rsidRPr="005C726E" w:rsidRDefault="00F773F6" w:rsidP="00EE2D7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5C6F" w:rsidRDefault="00CE5C6F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предоставлении</w:t>
      </w:r>
    </w:p>
    <w:p w:rsid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бюджетных ассигнований на осуществление капитальных вложений</w:t>
      </w:r>
    </w:p>
    <w:p w:rsidR="00F773F6" w:rsidRP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E2D7E">
        <w:rPr>
          <w:rFonts w:ascii="Times New Roman" w:hAnsi="Times New Roman" w:cs="Times New Roman"/>
          <w:b w:val="0"/>
          <w:sz w:val="24"/>
          <w:szCs w:val="24"/>
        </w:rPr>
        <w:t>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и</w:t>
      </w:r>
      <w:r w:rsidR="002672C8" w:rsidRP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  <w:proofErr w:type="gramEnd"/>
    </w:p>
    <w:p w:rsidR="00F773F6" w:rsidRDefault="00F773F6" w:rsidP="00EE2D7E">
      <w:pPr>
        <w:spacing w:after="1"/>
        <w:ind w:firstLine="851"/>
        <w:rPr>
          <w:rFonts w:ascii="Times New Roman" w:hAnsi="Times New Roman" w:cs="Times New Roman"/>
          <w:sz w:val="24"/>
          <w:szCs w:val="24"/>
        </w:rPr>
      </w:pPr>
    </w:p>
    <w:p w:rsidR="00A30B0C" w:rsidRDefault="00A30B0C" w:rsidP="00EE2D7E">
      <w:pPr>
        <w:spacing w:after="1"/>
        <w:ind w:firstLine="851"/>
        <w:rPr>
          <w:rFonts w:ascii="Times New Roman" w:hAnsi="Times New Roman" w:cs="Times New Roman"/>
          <w:sz w:val="24"/>
          <w:szCs w:val="24"/>
        </w:rPr>
      </w:pPr>
    </w:p>
    <w:p w:rsid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EE2D7E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EE2D7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EE2D7E"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</w:t>
      </w:r>
      <w:r w:rsidRPr="00EE2D7E">
        <w:rPr>
          <w:rFonts w:ascii="Times New Roman" w:hAnsi="Times New Roman" w:cs="Times New Roman"/>
          <w:sz w:val="24"/>
          <w:szCs w:val="24"/>
        </w:rPr>
        <w:t>:</w:t>
      </w:r>
    </w:p>
    <w:p w:rsidR="00F773F6" w:rsidRP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>1.</w:t>
      </w:r>
      <w:r w:rsidR="00EE2D7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E2D7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57" w:history="1">
        <w:r w:rsidRPr="00EE2D7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принятия решения о предоставлении</w:t>
      </w:r>
      <w:r w:rsid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и муниципальным унитарным</w:t>
      </w:r>
      <w:proofErr w:type="gramEnd"/>
      <w:r w:rsidR="00EE2D7E" w:rsidRPr="00EE2D7E">
        <w:rPr>
          <w:rFonts w:ascii="Times New Roman" w:hAnsi="Times New Roman" w:cs="Times New Roman"/>
          <w:sz w:val="24"/>
          <w:szCs w:val="24"/>
        </w:rPr>
        <w:t xml:space="preserve"> предприятиям городского округа Электросталь Московской области</w:t>
      </w:r>
      <w:r w:rsidRPr="00EE2D7E">
        <w:rPr>
          <w:rFonts w:ascii="Times New Roman" w:hAnsi="Times New Roman" w:cs="Times New Roman"/>
          <w:sz w:val="24"/>
          <w:szCs w:val="24"/>
        </w:rPr>
        <w:t>.</w:t>
      </w:r>
    </w:p>
    <w:p w:rsidR="00EE2D7E" w:rsidRPr="00B80EEE" w:rsidRDefault="001E30A9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2D7E" w:rsidRPr="00B80EE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E2D7E" w:rsidRPr="00B80EEE">
        <w:rPr>
          <w:rFonts w:ascii="Times New Roman" w:hAnsi="Times New Roman" w:cs="Times New Roman"/>
          <w:sz w:val="24"/>
          <w:szCs w:val="24"/>
        </w:rPr>
        <w:t>.</w:t>
      </w:r>
    </w:p>
    <w:p w:rsidR="00EE2D7E" w:rsidRPr="00416FFF" w:rsidRDefault="001E30A9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2D7E" w:rsidRPr="00416FFF">
        <w:rPr>
          <w:rFonts w:ascii="Times New Roman" w:hAnsi="Times New Roman" w:cs="Times New Roman"/>
          <w:sz w:val="24"/>
          <w:szCs w:val="24"/>
        </w:rPr>
        <w:t>.</w:t>
      </w:r>
      <w:r w:rsidR="00EE2D7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E2D7E" w:rsidRPr="00416F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2D7E" w:rsidRPr="00416F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EE2D7E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EE2D7E" w:rsidRDefault="00EE2D7E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130" w:rsidRDefault="00173130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D7E" w:rsidRPr="00416FFF" w:rsidRDefault="00EE2D7E" w:rsidP="00EE2D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173130" w:rsidRPr="00416FFF" w:rsidRDefault="00173130" w:rsidP="00EE2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896" w:rsidRPr="00896A8F" w:rsidRDefault="00627896" w:rsidP="006278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5811">
        <w:rPr>
          <w:rFonts w:ascii="Times New Roman" w:hAnsi="Times New Roman" w:cs="Times New Roman"/>
          <w:sz w:val="24"/>
          <w:szCs w:val="24"/>
        </w:rPr>
        <w:t xml:space="preserve">Рассылка:  </w:t>
      </w:r>
      <w:proofErr w:type="gramStart"/>
      <w:r w:rsidRPr="00925811">
        <w:rPr>
          <w:rFonts w:ascii="Times New Roman" w:hAnsi="Times New Roman" w:cs="Times New Roman"/>
          <w:sz w:val="24"/>
          <w:szCs w:val="24"/>
        </w:rPr>
        <w:t xml:space="preserve">Фёдорову А.В., Алёхину Е.П., Волковой И.Ю., Денисову В.А.,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 М.Ю., Костромитину В.А.,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Повалову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А.А., Соколовой С.Ю., Ларионову В.С.,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Бузурной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И.В., Аксёновой М.Н.,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Дубицкому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Е.Р.,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>Климовой С.В.,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>Митькиной Е.И.,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Сметаниной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Ю.В., Сутягину И.А.,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 xml:space="preserve">Филиппенко С.А.,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Цацорину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Г.В., Щербакову К.В., </w:t>
      </w:r>
      <w:proofErr w:type="spellStart"/>
      <w:r w:rsidRPr="00925811">
        <w:rPr>
          <w:rFonts w:ascii="Times New Roman" w:hAnsi="Times New Roman" w:cs="Times New Roman"/>
          <w:sz w:val="24"/>
          <w:szCs w:val="24"/>
        </w:rPr>
        <w:t>Даницкой</w:t>
      </w:r>
      <w:proofErr w:type="spellEnd"/>
      <w:r w:rsidRPr="00925811">
        <w:rPr>
          <w:rFonts w:ascii="Times New Roman" w:hAnsi="Times New Roman" w:cs="Times New Roman"/>
          <w:sz w:val="24"/>
          <w:szCs w:val="24"/>
        </w:rPr>
        <w:t xml:space="preserve"> Е.П.</w:t>
      </w:r>
      <w:proofErr w:type="gramEnd"/>
      <w:r w:rsidRPr="00925811">
        <w:rPr>
          <w:rFonts w:ascii="Times New Roman" w:hAnsi="Times New Roman" w:cs="Times New Roman"/>
          <w:sz w:val="24"/>
          <w:szCs w:val="24"/>
        </w:rPr>
        <w:t>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>Белоусовой С.А., Елихину О.Н.,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>Светловой Е.А.,</w:t>
      </w:r>
      <w:r w:rsidRPr="00B80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811">
        <w:rPr>
          <w:rFonts w:ascii="Times New Roman" w:hAnsi="Times New Roman" w:cs="Times New Roman"/>
          <w:sz w:val="24"/>
          <w:szCs w:val="24"/>
        </w:rPr>
        <w:t>ООО «ЭЛКОД», в прокуратуру, в регистр муниципальных правовых актов, в дело.</w:t>
      </w:r>
    </w:p>
    <w:p w:rsidR="00071AE6" w:rsidRPr="00B80EEE" w:rsidRDefault="00071AE6" w:rsidP="00CE5C6F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71AE6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71AE6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071AE6" w:rsidRPr="00B80EEE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071AE6" w:rsidRPr="00B80EEE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80E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E2D7E" w:rsidRDefault="00EE2D7E" w:rsidP="00EE2D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Pr="00EE2D7E" w:rsidRDefault="00EE2D7E" w:rsidP="00EE2D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AE6" w:rsidRPr="002659F5" w:rsidRDefault="00F6765A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hyperlink w:anchor="P57" w:history="1">
        <w:r w:rsidR="00071AE6" w:rsidRPr="002659F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1AE6" w:rsidRPr="002659F5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</w:t>
      </w:r>
    </w:p>
    <w:p w:rsidR="00071AE6" w:rsidRPr="002659F5" w:rsidRDefault="00071AE6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</w:t>
      </w:r>
    </w:p>
    <w:p w:rsidR="00F773F6" w:rsidRPr="002659F5" w:rsidRDefault="00071AE6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071AE6" w:rsidRDefault="00071AE6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73F6" w:rsidRPr="00EE2D7E" w:rsidRDefault="00F773F6" w:rsidP="00071AE6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A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1AE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устанавливает процедуру </w:t>
      </w:r>
      <w:r w:rsidRPr="00071AE6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бюджетным </w:t>
      </w:r>
      <w:r w:rsidR="00071AE6">
        <w:rPr>
          <w:rFonts w:ascii="Times New Roman" w:hAnsi="Times New Roman" w:cs="Times New Roman"/>
          <w:sz w:val="24"/>
          <w:szCs w:val="24"/>
        </w:rPr>
        <w:t>и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автономным учреждениям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учреждения) 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предприятия)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071AE6">
        <w:rPr>
          <w:rFonts w:ascii="Times New Roman" w:hAnsi="Times New Roman" w:cs="Times New Roman"/>
          <w:sz w:val="24"/>
          <w:szCs w:val="24"/>
        </w:rPr>
        <w:t xml:space="preserve"> в виде субсидий из бюджета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на осуществление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учреждениями и предприятиями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капитальных вложений в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(реконструкцию, в том числе с элементами реставрации) </w:t>
      </w:r>
      <w:r w:rsidR="00071AE6" w:rsidRPr="00071AE6">
        <w:rPr>
          <w:rFonts w:ascii="Times New Roman" w:hAnsi="Times New Roman" w:cs="Times New Roman"/>
          <w:sz w:val="24"/>
          <w:szCs w:val="24"/>
        </w:rPr>
        <w:t>объект</w:t>
      </w:r>
      <w:r w:rsidR="00071AE6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</w:t>
      </w:r>
      <w:r w:rsidRPr="00EE2D7E">
        <w:rPr>
          <w:rFonts w:ascii="Times New Roman" w:hAnsi="Times New Roman" w:cs="Times New Roman"/>
          <w:sz w:val="24"/>
          <w:szCs w:val="24"/>
        </w:rPr>
        <w:t>(далее - Реш</w:t>
      </w:r>
      <w:r w:rsidR="00071AE6">
        <w:rPr>
          <w:rFonts w:ascii="Times New Roman" w:hAnsi="Times New Roman" w:cs="Times New Roman"/>
          <w:sz w:val="24"/>
          <w:szCs w:val="24"/>
        </w:rPr>
        <w:t>ение о предоставлении субсидии).</w:t>
      </w:r>
    </w:p>
    <w:p w:rsidR="001E30A9" w:rsidRPr="00EE2D7E" w:rsidRDefault="001E30A9" w:rsidP="001E3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071AE6">
        <w:rPr>
          <w:rFonts w:ascii="Times New Roman" w:hAnsi="Times New Roman" w:cs="Times New Roman"/>
          <w:sz w:val="24"/>
          <w:szCs w:val="24"/>
        </w:rPr>
        <w:t>Настоящий</w:t>
      </w:r>
      <w:r w:rsidRPr="0053019B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" w:history="1">
        <w:r w:rsidRPr="005301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3019B">
        <w:rPr>
          <w:rFonts w:ascii="Times New Roman" w:hAnsi="Times New Roman" w:cs="Times New Roman"/>
          <w:sz w:val="24"/>
          <w:szCs w:val="24"/>
        </w:rPr>
        <w:t xml:space="preserve"> не распространяется</w:t>
      </w:r>
      <w:r w:rsidRPr="00EE2D7E">
        <w:rPr>
          <w:rFonts w:ascii="Times New Roman" w:hAnsi="Times New Roman" w:cs="Times New Roman"/>
          <w:sz w:val="24"/>
          <w:szCs w:val="24"/>
        </w:rPr>
        <w:t xml:space="preserve"> на инвестиционные проекты, предполагающие приобретение земельных участков и участков недр.</w:t>
      </w:r>
    </w:p>
    <w:p w:rsidR="00071AE6" w:rsidRPr="00185D9E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2. </w:t>
      </w:r>
      <w:r w:rsidR="00071AE6" w:rsidRPr="00185D9E">
        <w:rPr>
          <w:rFonts w:ascii="Times New Roman" w:hAnsi="Times New Roman" w:cs="Times New Roman"/>
          <w:sz w:val="24"/>
          <w:szCs w:val="24"/>
        </w:rPr>
        <w:t>Решение 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071AE6" w:rsidRPr="00185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1AE6" w:rsidRPr="00185D9E">
        <w:rPr>
          <w:rFonts w:ascii="Times New Roman" w:hAnsi="Times New Roman" w:cs="Times New Roman"/>
          <w:sz w:val="24"/>
          <w:szCs w:val="24"/>
        </w:rPr>
        <w:t>с учетом: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3B4EC3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в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по строительству, архитектуре и жилищной политике  Администрации городского округа Электросталь Московской области о целесообразности направления субсидий на осуществление капитальных вложений в объекты капитального строительства с учетом объемов незавершенного строительства (далее – заключение Комитета по строительству, архитектуре и жилищной политике);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г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имущественных отношений Администрации городского округа Электросталь Московской области о целесообразности направления субсидий на приобретение объектов недвижимого имущества с учетом наличия (отсутствия) в собственности городского округа Электросталь Московской области объектов недвижимого имущества, пригодных для использования их в целях, для которых они приобретаются (далее – заключение Комитета имущественных отношений);</w:t>
      </w: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</w:t>
      </w:r>
      <w:proofErr w:type="gramStart"/>
      <w:r w:rsidR="003B4EC3" w:rsidRPr="00BF7A0C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городского округа</w:t>
      </w:r>
      <w:proofErr w:type="gramEnd"/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lastRenderedPageBreak/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>, напра</w:t>
      </w:r>
      <w:r w:rsidR="003B4EC3"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);</w:t>
      </w: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о возможности включения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объема бюджетных ассигнований, предоставляемых в форме субсидии учреждениям и предприятиям на осуществление капитальных вложений в объекты капитального строительства и (или) на приобретение объектов недвижимого имущества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773F6" w:rsidRPr="00EE2D7E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о предоставлении субсидии выступает </w:t>
      </w:r>
      <w:r w:rsidR="003B4EC3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городского округа Электросталь Московской области</w:t>
      </w:r>
      <w:r w:rsidRPr="00EE2D7E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находится учреждение или предприятие, которому планируется предоставление субсидии (далее - Инициатор).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416FFF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исходя из нормативной потребности, фактической обеспеченности жителей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и их целесообразности.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5. Для подготовки заключения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 и заключения Комитета имущественных отношений Инициатор направляет предложения по объектам капитального строительства и (или) объектам</w:t>
      </w:r>
      <w:r w:rsidRPr="00416FFF">
        <w:rPr>
          <w:rFonts w:ascii="Times New Roman" w:hAnsi="Times New Roman" w:cs="Times New Roman"/>
          <w:sz w:val="24"/>
          <w:szCs w:val="24"/>
        </w:rPr>
        <w:t xml:space="preserve"> недвижимого имущества с информацией по предполагаемым объемам финансирования по годам и с приложением следующих документов по каждому объекту: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обоснование потребности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капитального строительства и объектах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 объекты капитального строительства и на приобретение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FFF">
        <w:rPr>
          <w:rFonts w:ascii="Times New Roman" w:hAnsi="Times New Roman" w:cs="Times New Roman"/>
          <w:sz w:val="24"/>
          <w:szCs w:val="24"/>
        </w:rPr>
        <w:t xml:space="preserve">копия паспорта инвестиционного проекта по форме, установленной </w:t>
      </w: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для целей проверки инвестиционных проектов на предмет эффективности использования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вложения;</w:t>
      </w:r>
      <w:proofErr w:type="gramEnd"/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отчет об оценке объекта недвижимого имущества, составленного в порядке, предусмотренном законодательством Российской Федерации об оценочной деятельности, в случае принятия Решения в отношении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износ объектов, в случае принятия Решения в отношении объектов капитального строительства, подлежащих реконструкции, или приобретаемых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расчет предполагаемого объема эксплуатационных расходов, необходимых для содержания объектов после ввода их в эксплуатацию (приобретения), предложения по источникам финансового обеспечения.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Дополнительно представляются: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по объектам капитального строительства, проектные работы по которым начаты либо выполнены без участия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F03633" w:rsidRPr="00416FFF" w:rsidRDefault="00F0363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 (при наличии);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обеспечение объектов инженерной и транспортной инфраструктурой в необходимых объемах;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по объектам капитального строительства, имеющим утвержденную проектную документацию и начатым строительством без участия средств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вне зависимости от степени готовности,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 об утверждении проектной документации в соответствии с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справка о состоянии расчетов по объекту капитального строительства, подтверждающая финансирование, произведенное с начала строительства объекта, с разбивкой по годам и источникам финансирования.</w:t>
      </w:r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16FFF">
        <w:rPr>
          <w:rFonts w:ascii="Times New Roman" w:hAnsi="Times New Roman" w:cs="Times New Roman"/>
          <w:sz w:val="24"/>
          <w:szCs w:val="24"/>
        </w:rPr>
        <w:t xml:space="preserve">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 в соответствии с </w:t>
      </w:r>
      <w:r w:rsidRPr="007F2DA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F2DA7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659F5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вложения, </w:t>
      </w:r>
      <w:r w:rsidRPr="002659F5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Pr="002659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 26.12.2014 №1195/13, а также положительное заключение Комитета по строительству, архитектуре и жилищной политике и положительное заключение Комитета имущественных отношений.</w:t>
      </w:r>
      <w:proofErr w:type="gramEnd"/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7.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документы, </w:t>
      </w:r>
      <w:r w:rsidRPr="00633E1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0" w:history="1">
        <w:r w:rsidRPr="00633E1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16FF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положительное заключение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политике, положительное заключение Комитета имущественных отношений и положительное заключение экономического управления.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8. Заключения Комитета по строительству, архитектуре и жилищной политике, Комитета имущественных отношений и заключение</w:t>
      </w:r>
      <w:r w:rsidRPr="0041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готовятся и направляются Инициатору в 15-дневный срок со дня предоставления документов.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9. </w:t>
      </w:r>
      <w:r w:rsidRPr="00BF7A0C">
        <w:rPr>
          <w:rFonts w:ascii="Times New Roman" w:hAnsi="Times New Roman" w:cs="Times New Roman"/>
          <w:sz w:val="24"/>
          <w:szCs w:val="24"/>
        </w:rPr>
        <w:t>Проект решения должен содержать следующую информацию: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</w:t>
      </w:r>
      <w:r w:rsidRPr="00416FFF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либо объекта недвижимости (при его наличии) или иное описание их местоположения (при отсутствии адреса)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в) </w:t>
      </w:r>
      <w:r w:rsidRPr="00416FFF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приобретение недвижимого имущества)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г) наименование получателя средств бюджета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="00777584" w:rsidRPr="0077758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777584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5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7584">
        <w:rPr>
          <w:rFonts w:ascii="Times New Roman" w:hAnsi="Times New Roman" w:cs="Times New Roman"/>
          <w:sz w:val="24"/>
          <w:szCs w:val="24"/>
        </w:rPr>
        <w:t>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F773F6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 xml:space="preserve">ж) предельный размер субсидии из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 на строительство (реконструкцию) объекта капитального строительства либо на приобретение объекта недвижимого имущества с распределением по годам реализации инвестиционного проекта;</w:t>
      </w:r>
    </w:p>
    <w:p w:rsidR="00F773F6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773F6" w:rsidRPr="00777584">
        <w:rPr>
          <w:rFonts w:ascii="Times New Roman" w:hAnsi="Times New Roman" w:cs="Times New Roman"/>
          <w:sz w:val="24"/>
          <w:szCs w:val="24"/>
        </w:rPr>
        <w:t xml:space="preserve">) срок действия соглашения, заключенного между получателем средств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777584">
        <w:rPr>
          <w:rFonts w:ascii="Times New Roman" w:hAnsi="Times New Roman" w:cs="Times New Roman"/>
          <w:sz w:val="24"/>
          <w:szCs w:val="24"/>
        </w:rPr>
        <w:t>Московской области и учреждениями и предприятиями, являющимися получателями субсидии, о предоставлении субсидии, не превышающий срока реализации Решения о предоставлении субсидий.</w:t>
      </w:r>
    </w:p>
    <w:p w:rsidR="00777584" w:rsidRPr="00185D9E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9E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На основе принятого Решения</w:t>
      </w:r>
      <w:r w:rsidRPr="00185D9E">
        <w:rPr>
          <w:rFonts w:ascii="Times New Roman" w:hAnsi="Times New Roman" w:cs="Times New Roman"/>
          <w:sz w:val="24"/>
          <w:szCs w:val="24"/>
        </w:rPr>
        <w:t xml:space="preserve"> в муниципальную программу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включается соответствующее </w:t>
      </w:r>
      <w:r w:rsidRPr="00185D9E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F773F6" w:rsidRPr="00777584" w:rsidRDefault="00F773F6" w:rsidP="00BF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11.</w:t>
      </w:r>
      <w:r w:rsidR="002659F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77584">
        <w:rPr>
          <w:rFonts w:ascii="Times New Roman" w:hAnsi="Times New Roman" w:cs="Times New Roman"/>
          <w:sz w:val="24"/>
          <w:szCs w:val="24"/>
        </w:rPr>
        <w:t xml:space="preserve">Решением о предоставлении субсидии может предусматриваться предоставление получателю средств бюджета </w:t>
      </w:r>
      <w:r w:rsidR="00C631E0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предоставляющему субсидии, права заключать соглашение о предоставлении субсидии учреждениям и предприятиям на срок реализации Решения о предоставлении субсидии, превышающий срок действия утвержденных получателю средств бюджета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 лимитов бюджетных обязательств на предоставление субсидии при наличии обоснования данного превышения, по объектам капитального строительства</w:t>
      </w:r>
      <w:proofErr w:type="gramEnd"/>
      <w:r w:rsidRPr="007775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77584">
        <w:rPr>
          <w:rFonts w:ascii="Times New Roman" w:hAnsi="Times New Roman" w:cs="Times New Roman"/>
          <w:sz w:val="24"/>
          <w:szCs w:val="24"/>
        </w:rPr>
        <w:t xml:space="preserve">создаваемым в результате предоставления субсидии учреждениям и предприятиям, или объектам недвижимого имущества, приобретаемым в </w:t>
      </w:r>
      <w:r w:rsidR="00EF175D">
        <w:rPr>
          <w:rFonts w:ascii="Times New Roman" w:hAnsi="Times New Roman" w:cs="Times New Roman"/>
          <w:sz w:val="24"/>
          <w:szCs w:val="24"/>
        </w:rPr>
        <w:t>муниципальную</w:t>
      </w:r>
      <w:r w:rsidRPr="00777584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в рамках утвержденных </w:t>
      </w:r>
      <w:r w:rsidR="00EF175D">
        <w:rPr>
          <w:rFonts w:ascii="Times New Roman" w:hAnsi="Times New Roman" w:cs="Times New Roman"/>
          <w:sz w:val="24"/>
          <w:szCs w:val="24"/>
        </w:rPr>
        <w:t>муниципальных</w:t>
      </w:r>
      <w:r w:rsidRPr="00777584">
        <w:rPr>
          <w:rFonts w:ascii="Times New Roman" w:hAnsi="Times New Roman" w:cs="Times New Roman"/>
          <w:sz w:val="24"/>
          <w:szCs w:val="24"/>
        </w:rPr>
        <w:t xml:space="preserve"> программ (подпрограмм)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области.</w:t>
      </w:r>
      <w:proofErr w:type="gramEnd"/>
    </w:p>
    <w:p w:rsidR="0024672B" w:rsidRDefault="00EF175D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2659F5">
        <w:rPr>
          <w:rFonts w:ascii="Times New Roman" w:hAnsi="Times New Roman" w:cs="Times New Roman"/>
          <w:sz w:val="24"/>
          <w:szCs w:val="24"/>
        </w:rPr>
        <w:t>2</w:t>
      </w:r>
      <w:r w:rsidRPr="001F5A92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48"/>
      <w:bookmarkEnd w:id="2"/>
      <w:proofErr w:type="gramStart"/>
      <w:r w:rsidRPr="001F5A92">
        <w:rPr>
          <w:rFonts w:ascii="Times New Roman" w:hAnsi="Times New Roman" w:cs="Times New Roman"/>
          <w:sz w:val="24"/>
          <w:szCs w:val="24"/>
        </w:rPr>
        <w:t>Порядок предоставления из бюджета городского округа Электросталь Московской области субсидий учреждениям и предприятиям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объекты недвижимого имущества, приобретаемые в муниципальную собственность городского округа Электросталь Московской области установлен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</w:t>
      </w:r>
      <w:proofErr w:type="gramEnd"/>
      <w:r w:rsidRPr="001F5A92">
        <w:rPr>
          <w:rFonts w:ascii="Times New Roman" w:hAnsi="Times New Roman" w:cs="Times New Roman"/>
          <w:sz w:val="24"/>
          <w:szCs w:val="24"/>
        </w:rPr>
        <w:t xml:space="preserve"> </w:t>
      </w:r>
      <w:r w:rsidR="001F5A92" w:rsidRPr="001F5A92">
        <w:rPr>
          <w:rFonts w:ascii="Times New Roman" w:hAnsi="Times New Roman" w:cs="Times New Roman"/>
          <w:sz w:val="24"/>
          <w:szCs w:val="24"/>
        </w:rPr>
        <w:t>постановлением</w:t>
      </w:r>
      <w:r w:rsidRPr="001F5A9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27179">
        <w:rPr>
          <w:rFonts w:ascii="Times New Roman" w:hAnsi="Times New Roman" w:cs="Times New Roman"/>
          <w:sz w:val="24"/>
          <w:szCs w:val="24"/>
        </w:rPr>
        <w:t>05</w:t>
      </w:r>
      <w:r w:rsidRPr="001F5A92">
        <w:rPr>
          <w:rFonts w:ascii="Times New Roman" w:hAnsi="Times New Roman" w:cs="Times New Roman"/>
          <w:sz w:val="24"/>
          <w:szCs w:val="24"/>
        </w:rPr>
        <w:t>.12.2017 №872/12.</w:t>
      </w:r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допускается при исполнении бюджета </w:t>
      </w:r>
      <w:r w:rsidRPr="001F5A9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собственности, предусмотренное пунктом 2 статьи 79 Бюджетного кодекса Российской Федерации, за исключением случая, указанного </w:t>
      </w:r>
      <w:r w:rsidRPr="002467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пункте 14 </w:t>
      </w:r>
      <w:r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24672B">
        <w:rPr>
          <w:rFonts w:ascii="Times New Roman" w:hAnsi="Times New Roman" w:cs="Times New Roman"/>
          <w:sz w:val="24"/>
          <w:szCs w:val="24"/>
        </w:rPr>
        <w:t>.</w:t>
      </w:r>
      <w:bookmarkStart w:id="3" w:name="Par2"/>
      <w:bookmarkEnd w:id="3"/>
      <w:proofErr w:type="gramEnd"/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исполнении бюджета </w:t>
      </w:r>
      <w:r w:rsidRPr="001F5A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предоставление субсидий на осуществление капитальных вложений в объекты муниципальной собственности, указанные в </w:t>
      </w:r>
      <w:r w:rsidR="00D84020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D84020"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4020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9" w:history="1">
        <w:r w:rsidRPr="0024672B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24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на бюджетное или автономное учреждение или изменения его организационно-правовой формы на 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унитарное предприятие. </w:t>
      </w:r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Субсидия предоставляется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</w:t>
      </w:r>
      <w:proofErr w:type="gramEnd"/>
    </w:p>
    <w:p w:rsidR="00012325" w:rsidRPr="007C146D" w:rsidRDefault="00012325" w:rsidP="00012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46D">
        <w:rPr>
          <w:rFonts w:ascii="Times New Roman" w:hAnsi="Times New Roman" w:cs="Times New Roman"/>
          <w:sz w:val="24"/>
          <w:szCs w:val="24"/>
        </w:rPr>
        <w:t>15. Решение 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012325" w:rsidRPr="007C146D" w:rsidRDefault="00012325" w:rsidP="00012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46D">
        <w:rPr>
          <w:rFonts w:ascii="Times New Roman" w:hAnsi="Times New Roman" w:cs="Times New Roman"/>
          <w:sz w:val="24"/>
          <w:szCs w:val="24"/>
        </w:rPr>
        <w:t xml:space="preserve">В случае необходимости принятия Решения после утверждения бюджета городского округа Электросталь Московской области на очередной финансовый год и плановый период, подготовка Решения осуществляется </w:t>
      </w:r>
      <w:r w:rsidR="00CF4AD4">
        <w:rPr>
          <w:rFonts w:ascii="Times New Roman" w:hAnsi="Times New Roman" w:cs="Times New Roman"/>
          <w:sz w:val="24"/>
          <w:szCs w:val="24"/>
        </w:rPr>
        <w:t xml:space="preserve">при </w:t>
      </w:r>
      <w:r w:rsidRPr="007C146D">
        <w:rPr>
          <w:rFonts w:ascii="Times New Roman" w:hAnsi="Times New Roman" w:cs="Times New Roman"/>
          <w:sz w:val="24"/>
          <w:szCs w:val="24"/>
        </w:rPr>
        <w:t>наличи</w:t>
      </w:r>
      <w:r w:rsidR="00CF4AD4">
        <w:rPr>
          <w:rFonts w:ascii="Times New Roman" w:hAnsi="Times New Roman" w:cs="Times New Roman"/>
          <w:sz w:val="24"/>
          <w:szCs w:val="24"/>
        </w:rPr>
        <w:t>и</w:t>
      </w:r>
      <w:r w:rsidRPr="007C146D">
        <w:rPr>
          <w:rFonts w:ascii="Times New Roman" w:hAnsi="Times New Roman" w:cs="Times New Roman"/>
          <w:sz w:val="24"/>
          <w:szCs w:val="24"/>
        </w:rPr>
        <w:t xml:space="preserve"> в бюджете городского округа Электросталь Московской области необходимых финансовых ресурсов.</w:t>
      </w:r>
    </w:p>
    <w:p w:rsidR="00F773F6" w:rsidRPr="001F5A92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012325">
        <w:rPr>
          <w:rFonts w:ascii="Times New Roman" w:hAnsi="Times New Roman" w:cs="Times New Roman"/>
          <w:sz w:val="24"/>
          <w:szCs w:val="24"/>
        </w:rPr>
        <w:t>6</w:t>
      </w:r>
      <w:r w:rsidRPr="001F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A92">
        <w:rPr>
          <w:rFonts w:ascii="Times New Roman" w:hAnsi="Times New Roman" w:cs="Times New Roman"/>
          <w:sz w:val="24"/>
          <w:szCs w:val="24"/>
        </w:rPr>
        <w:t xml:space="preserve">В случае увеличения стоимости объекта капитального строительства и (или) цены приобретения объекта недвижимого имущества более чем на 30 процентов и срока строительства, реконструкции, в том числе с элементами реставрации, более чем на год внесение изменений в решение о предоставлении субсидии осуществляется Инициатором в соответствии с процедурой, предусмотренной </w:t>
      </w:r>
      <w:hyperlink w:anchor="P93" w:history="1">
        <w:r w:rsidRPr="001F5A92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F5A92">
        <w:rPr>
          <w:rFonts w:ascii="Times New Roman" w:hAnsi="Times New Roman" w:cs="Times New Roman"/>
          <w:sz w:val="24"/>
          <w:szCs w:val="24"/>
        </w:rPr>
        <w:t>-</w:t>
      </w:r>
      <w:hyperlink w:anchor="P148" w:history="1">
        <w:r w:rsidRPr="001F5A92">
          <w:rPr>
            <w:rFonts w:ascii="Times New Roman" w:hAnsi="Times New Roman" w:cs="Times New Roman"/>
            <w:sz w:val="24"/>
            <w:szCs w:val="24"/>
          </w:rPr>
          <w:t>1</w:t>
        </w:r>
        <w:r w:rsidR="001F5A92">
          <w:rPr>
            <w:rFonts w:ascii="Times New Roman" w:hAnsi="Times New Roman" w:cs="Times New Roman"/>
            <w:sz w:val="24"/>
            <w:szCs w:val="24"/>
          </w:rPr>
          <w:t>0</w:t>
        </w:r>
        <w:r w:rsidR="002659F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5A9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EF175D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75D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59F5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75D" w:rsidRPr="00416FFF" w:rsidRDefault="00EF175D" w:rsidP="00EF175D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EF175D" w:rsidRPr="003B4EC3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F175D" w:rsidRPr="003B4EC3" w:rsidSect="0024672B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93" w:rsidRDefault="007B0E93" w:rsidP="00627896">
      <w:r>
        <w:separator/>
      </w:r>
    </w:p>
  </w:endnote>
  <w:endnote w:type="continuationSeparator" w:id="1">
    <w:p w:rsidR="007B0E93" w:rsidRDefault="007B0E93" w:rsidP="0062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93" w:rsidRDefault="007B0E93" w:rsidP="00627896">
      <w:r>
        <w:separator/>
      </w:r>
    </w:p>
  </w:footnote>
  <w:footnote w:type="continuationSeparator" w:id="1">
    <w:p w:rsidR="007B0E93" w:rsidRDefault="007B0E93" w:rsidP="0062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216"/>
      <w:docPartObj>
        <w:docPartGallery w:val="Page Numbers (Top of Page)"/>
        <w:docPartUnique/>
      </w:docPartObj>
    </w:sdtPr>
    <w:sdtContent>
      <w:p w:rsidR="00627896" w:rsidRDefault="00F6765A">
        <w:pPr>
          <w:pStyle w:val="a6"/>
          <w:jc w:val="center"/>
        </w:pPr>
        <w:fldSimple w:instr=" PAGE   \* MERGEFORMAT ">
          <w:r w:rsidR="00CE30F5">
            <w:rPr>
              <w:noProof/>
            </w:rPr>
            <w:t>6</w:t>
          </w:r>
        </w:fldSimple>
      </w:p>
    </w:sdtContent>
  </w:sdt>
  <w:p w:rsidR="00627896" w:rsidRDefault="006278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3F6"/>
    <w:rsid w:val="00012325"/>
    <w:rsid w:val="0002184A"/>
    <w:rsid w:val="00071AE6"/>
    <w:rsid w:val="000B2B60"/>
    <w:rsid w:val="00151109"/>
    <w:rsid w:val="00173130"/>
    <w:rsid w:val="001E30A9"/>
    <w:rsid w:val="001F5A92"/>
    <w:rsid w:val="0024672B"/>
    <w:rsid w:val="002659F5"/>
    <w:rsid w:val="002672C8"/>
    <w:rsid w:val="002C0F2F"/>
    <w:rsid w:val="00324DE3"/>
    <w:rsid w:val="00340EE1"/>
    <w:rsid w:val="003B4EC3"/>
    <w:rsid w:val="003D0620"/>
    <w:rsid w:val="004034DA"/>
    <w:rsid w:val="00434956"/>
    <w:rsid w:val="004528AE"/>
    <w:rsid w:val="004530B1"/>
    <w:rsid w:val="004C2B37"/>
    <w:rsid w:val="004E32FD"/>
    <w:rsid w:val="0053019B"/>
    <w:rsid w:val="005C726E"/>
    <w:rsid w:val="005C79D2"/>
    <w:rsid w:val="00627179"/>
    <w:rsid w:val="00627896"/>
    <w:rsid w:val="00692A20"/>
    <w:rsid w:val="006B27D4"/>
    <w:rsid w:val="00725BDC"/>
    <w:rsid w:val="00777584"/>
    <w:rsid w:val="007B0E93"/>
    <w:rsid w:val="007C146D"/>
    <w:rsid w:val="007D7B22"/>
    <w:rsid w:val="00830A62"/>
    <w:rsid w:val="008A13ED"/>
    <w:rsid w:val="008A6447"/>
    <w:rsid w:val="009B671F"/>
    <w:rsid w:val="009E055B"/>
    <w:rsid w:val="00A00196"/>
    <w:rsid w:val="00A30B0C"/>
    <w:rsid w:val="00A92AF8"/>
    <w:rsid w:val="00AA6812"/>
    <w:rsid w:val="00AC1CE2"/>
    <w:rsid w:val="00BE468A"/>
    <w:rsid w:val="00BF1887"/>
    <w:rsid w:val="00C36B65"/>
    <w:rsid w:val="00C631E0"/>
    <w:rsid w:val="00CD5D60"/>
    <w:rsid w:val="00CE30F5"/>
    <w:rsid w:val="00CE5C6F"/>
    <w:rsid w:val="00CF4AD4"/>
    <w:rsid w:val="00D312F2"/>
    <w:rsid w:val="00D6547B"/>
    <w:rsid w:val="00D84020"/>
    <w:rsid w:val="00E81DB1"/>
    <w:rsid w:val="00EE2D7E"/>
    <w:rsid w:val="00EF175D"/>
    <w:rsid w:val="00F03633"/>
    <w:rsid w:val="00F36E3F"/>
    <w:rsid w:val="00F61A3F"/>
    <w:rsid w:val="00F62A30"/>
    <w:rsid w:val="00F6765A"/>
    <w:rsid w:val="00F773F6"/>
    <w:rsid w:val="00FE40A0"/>
    <w:rsid w:val="00F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45B19E25C6FC80AC8DE06AE5225542DCF291DB35D1AD2E42C587EF5AB55F4742715CA7DCD07J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69059E4E2E076C6BDE2D001E6CADEDA7C2BE1DB964FCF650FD526AF2E509270DE963C0D269790BQ9S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parkhaeva</cp:lastModifiedBy>
  <cp:revision>23</cp:revision>
  <cp:lastPrinted>2018-04-02T09:05:00Z</cp:lastPrinted>
  <dcterms:created xsi:type="dcterms:W3CDTF">2018-01-30T06:09:00Z</dcterms:created>
  <dcterms:modified xsi:type="dcterms:W3CDTF">2018-04-03T09:25:00Z</dcterms:modified>
</cp:coreProperties>
</file>