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D0" w:rsidRPr="00803A2C" w:rsidRDefault="00940CD2" w:rsidP="00940CD2">
      <w:pPr>
        <w:pStyle w:val="1"/>
        <w:spacing w:before="100" w:beforeAutospacing="1" w:after="100" w:afterAutospacing="1" w:line="360" w:lineRule="auto"/>
        <w:ind w:firstLine="709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О </w:t>
      </w:r>
      <w:r w:rsidRPr="00940CD2">
        <w:rPr>
          <w:bCs/>
          <w:sz w:val="40"/>
          <w:szCs w:val="40"/>
        </w:rPr>
        <w:t>выпла</w:t>
      </w:r>
      <w:r>
        <w:rPr>
          <w:bCs/>
          <w:sz w:val="40"/>
          <w:szCs w:val="40"/>
        </w:rPr>
        <w:t>те</w:t>
      </w:r>
      <w:r w:rsidRPr="00940CD2">
        <w:rPr>
          <w:bCs/>
          <w:sz w:val="40"/>
          <w:szCs w:val="40"/>
        </w:rPr>
        <w:t xml:space="preserve"> пенсии </w:t>
      </w:r>
      <w:r>
        <w:rPr>
          <w:bCs/>
          <w:sz w:val="40"/>
          <w:szCs w:val="40"/>
        </w:rPr>
        <w:t>пострадавшим</w:t>
      </w:r>
      <w:r w:rsidRPr="00940CD2">
        <w:rPr>
          <w:bCs/>
          <w:sz w:val="40"/>
          <w:szCs w:val="40"/>
        </w:rPr>
        <w:t xml:space="preserve"> в результате радиационных или техногенных катастроф</w:t>
      </w:r>
      <w:r w:rsidR="00803A2C" w:rsidRPr="00803A2C">
        <w:rPr>
          <w:bCs/>
          <w:sz w:val="40"/>
          <w:szCs w:val="40"/>
        </w:rPr>
        <w:t xml:space="preserve"> </w:t>
      </w:r>
    </w:p>
    <w:p w:rsidR="005F4BF9" w:rsidRDefault="00FF0D41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74C8E">
        <w:rPr>
          <w:sz w:val="28"/>
          <w:szCs w:val="28"/>
        </w:rPr>
        <w:t>ГУ – Главное управление ПФР №7 по городу Москве и Московской области</w:t>
      </w:r>
      <w:r w:rsidR="00FD0FD0" w:rsidRPr="00874C8E">
        <w:rPr>
          <w:sz w:val="28"/>
          <w:szCs w:val="28"/>
        </w:rPr>
        <w:t xml:space="preserve"> </w:t>
      </w:r>
      <w:r w:rsidR="00803A2C">
        <w:rPr>
          <w:sz w:val="28"/>
          <w:szCs w:val="28"/>
        </w:rPr>
        <w:t xml:space="preserve">информирует, </w:t>
      </w:r>
      <w:r w:rsidR="005F4BF9">
        <w:rPr>
          <w:sz w:val="28"/>
          <w:szCs w:val="28"/>
        </w:rPr>
        <w:t>что О</w:t>
      </w:r>
      <w:r w:rsidR="005F4BF9" w:rsidRPr="005F4BF9">
        <w:rPr>
          <w:sz w:val="28"/>
          <w:szCs w:val="28"/>
        </w:rPr>
        <w:t xml:space="preserve">тделение ПФР по </w:t>
      </w:r>
      <w:proofErr w:type="gramStart"/>
      <w:r w:rsidR="005F4BF9" w:rsidRPr="005F4BF9">
        <w:rPr>
          <w:sz w:val="28"/>
          <w:szCs w:val="28"/>
        </w:rPr>
        <w:t>г</w:t>
      </w:r>
      <w:proofErr w:type="gramEnd"/>
      <w:r w:rsidR="005F4BF9" w:rsidRPr="005F4BF9">
        <w:rPr>
          <w:sz w:val="28"/>
          <w:szCs w:val="28"/>
        </w:rPr>
        <w:t>. Москве и Московской области выплачивает пенсии порядка 15,1 тыс. пострадавших в результате радиационных или техногенных катастроф, около 17,1 тыс. граждан, подвергшихся воздействию радиации вследствие радиационных аварий и ядерных испытаний, получают ежемесячные денежные выплаты.</w:t>
      </w:r>
    </w:p>
    <w:p w:rsid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F4BF9">
        <w:rPr>
          <w:sz w:val="28"/>
          <w:szCs w:val="28"/>
        </w:rPr>
        <w:t>Для лиц указанных категорий сохранены прежний возраст досрочного назначения пенсии, установление пенсии по инвалидности, возможность получения двух пенсий и ежемесячных денежных выплат (ЕДВ) в зависимости от категории.</w:t>
      </w:r>
    </w:p>
    <w:p w:rsid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5F4BF9">
        <w:rPr>
          <w:sz w:val="28"/>
          <w:szCs w:val="28"/>
        </w:rPr>
        <w:t>Пенсия по старости гражданам, пострадавшим от чернобыльской катастрофы, по их желанию может назначаться в соответствии с Федеральным законом от 28.12.2013 № 400-ФЗ «О страховых пенсиях»  при наличии страхового стажа не менее 15 лет и величины индивидуального пенсионного коэффициента не менее 30, определяемых с применением положений статьи 35 Федерального закона «О страховых пенсиях», или Федеральным законом от 15.12.2001 № 166-ФЗ «О государственном пенсионном</w:t>
      </w:r>
      <w:proofErr w:type="gramEnd"/>
      <w:r w:rsidRPr="005F4BF9">
        <w:rPr>
          <w:sz w:val="28"/>
          <w:szCs w:val="28"/>
        </w:rPr>
        <w:t xml:space="preserve"> </w:t>
      </w:r>
      <w:proofErr w:type="gramStart"/>
      <w:r w:rsidRPr="005F4BF9">
        <w:rPr>
          <w:sz w:val="28"/>
          <w:szCs w:val="28"/>
        </w:rPr>
        <w:t>обеспечении</w:t>
      </w:r>
      <w:proofErr w:type="gramEnd"/>
      <w:r w:rsidRPr="005F4BF9">
        <w:rPr>
          <w:sz w:val="28"/>
          <w:szCs w:val="28"/>
        </w:rPr>
        <w:t xml:space="preserve"> в Российской Федерации» при наличии трудового стажа не менее 5 лет.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F4BF9">
        <w:rPr>
          <w:sz w:val="28"/>
          <w:szCs w:val="28"/>
        </w:rPr>
        <w:t>Общеустановленный пенсионный возраст на 31.12.2018 (60 лет для мужчин и 55 лет для женщин) уменьшается на 10 лет:</w:t>
      </w:r>
    </w:p>
    <w:p w:rsidR="005F4BF9" w:rsidRPr="005F4BF9" w:rsidRDefault="005F4BF9" w:rsidP="005F4BF9">
      <w:pPr>
        <w:pStyle w:val="af3"/>
        <w:numPr>
          <w:ilvl w:val="0"/>
          <w:numId w:val="49"/>
        </w:numPr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>участникам ликвидации последствий катастрофы на Чернобыльской АЭС в зоне отчуждения в 1986-1987 годах;</w:t>
      </w:r>
    </w:p>
    <w:p w:rsidR="005F4BF9" w:rsidRPr="005F4BF9" w:rsidRDefault="005F4BF9" w:rsidP="005F4BF9">
      <w:pPr>
        <w:pStyle w:val="af3"/>
        <w:numPr>
          <w:ilvl w:val="0"/>
          <w:numId w:val="49"/>
        </w:numPr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>гражданам, ставшим инвалидами вследствие катастрофы на Чернобыльской АЭС;</w:t>
      </w:r>
    </w:p>
    <w:p w:rsidR="005F4BF9" w:rsidRDefault="005F4BF9" w:rsidP="005F4BF9">
      <w:pPr>
        <w:pStyle w:val="af3"/>
        <w:numPr>
          <w:ilvl w:val="0"/>
          <w:numId w:val="49"/>
        </w:numPr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lastRenderedPageBreak/>
        <w:t>гражданам, эвакуированным из зоны отчуждения.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5F4BF9">
        <w:rPr>
          <w:sz w:val="28"/>
          <w:szCs w:val="28"/>
        </w:rPr>
        <w:t>Для снижения пенсионного возраста участникам ликвидации последствий катастрофы на Чернобыльской  АЭС, которые были заняты на работах в 1986- 1987 годах в зоне отчуждения, достаточно лишь факта работы в указанные годы в зоне отчуждения, независимо от продолжительности пребывания в указанной зоне, а лицам, эвакуированным (в том числе выехавшие добровольно) в 1986 году из зоны отчуждения, – важен сам факт проживания в указанной</w:t>
      </w:r>
      <w:proofErr w:type="gramEnd"/>
      <w:r w:rsidRPr="005F4BF9">
        <w:rPr>
          <w:sz w:val="28"/>
          <w:szCs w:val="28"/>
        </w:rPr>
        <w:t xml:space="preserve"> зоне.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 xml:space="preserve">Общеустановленный пенсионный возраст уменьшается не более чем на 5 лет участникам ликвидации последствий катастрофы </w:t>
      </w:r>
      <w:proofErr w:type="gramStart"/>
      <w:r w:rsidRPr="005F4BF9">
        <w:rPr>
          <w:sz w:val="28"/>
          <w:szCs w:val="28"/>
        </w:rPr>
        <w:t>на</w:t>
      </w:r>
      <w:proofErr w:type="gramEnd"/>
      <w:r w:rsidRPr="005F4BF9">
        <w:rPr>
          <w:sz w:val="28"/>
          <w:szCs w:val="28"/>
        </w:rPr>
        <w:t xml:space="preserve"> Чернобыльской АЭС в зоне отчуждения в 1988-1990 годах.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>Для снижения пенсионного возраста участникам ликвидации последствий катастрофы на Чернобыльской  АЭС, которые были заняты на работах в 1988- 1990 годах в зоне отчуждения, достаточно лишь факта работы в указанные годы в зоне отчуждения, независимо от продолжительности пребывания в указанной зоне.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>Граждане, перенесшие лучевую болезнь и другие заболевания, связанные с радиационным воздействием вследствие катастрофы на ЧАЭС, также имеют право выйти на пенсию на 5 лет раньше.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>В отдельных случаях гражданам, получившим инвалидность при исполнении обязанностей военной службы во время ликвидации аварии на ЧАЭС, могут устанавливаться две пенсии – государственная по инвалидности и страховая по старости.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 xml:space="preserve">Вместе с тем, право на получение двух пенсий имеют нетрудоспособные члены семьи умершего кормильца – участника ликвидации, инвалида вследствие катастрофы на ЧАЭС, а также лица, получившего или перенесшего лучевую болезнь и другие заболевания, связанные с радиационным воздействием на ЧАЭС или </w:t>
      </w:r>
      <w:r w:rsidRPr="005F4BF9">
        <w:rPr>
          <w:sz w:val="28"/>
          <w:szCs w:val="28"/>
        </w:rPr>
        <w:lastRenderedPageBreak/>
        <w:t>работами по ликвидации последствий катастрофы. Им может устанавливаться пенсия по случаю потери кормильца и пенсия по старости (инвалидности).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r w:rsidRPr="005F4BF9">
        <w:rPr>
          <w:sz w:val="28"/>
          <w:szCs w:val="28"/>
        </w:rPr>
        <w:t>Как и все федеральные льготники, чернобыльцы имеют право на установление ЕДВ. В некоторых случаях право возникает сразу на две выплаты – например, участникам ликвидации последствий чернобыльской катастрофы, признанным инвалидами, ежемесячная денежная выплата может быть назначена и как ликвидатору, и как инвалиду.</w:t>
      </w:r>
    </w:p>
    <w:p w:rsidR="005F4BF9" w:rsidRPr="005F4BF9" w:rsidRDefault="005F4BF9" w:rsidP="005F4BF9">
      <w:pPr>
        <w:pStyle w:val="af3"/>
        <w:spacing w:before="100" w:beforeAutospacing="1" w:after="100" w:afterAutospacing="1" w:line="360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874C8E">
        <w:rPr>
          <w:sz w:val="28"/>
          <w:szCs w:val="28"/>
        </w:rPr>
        <w:t>ГУ – Главное управление ПФР №7 по городу Москве и Московской области</w:t>
      </w:r>
      <w:r w:rsidRPr="005F4BF9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напоминает</w:t>
      </w:r>
      <w:r w:rsidRPr="005F4BF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5F4BF9">
        <w:rPr>
          <w:sz w:val="28"/>
          <w:szCs w:val="28"/>
        </w:rPr>
        <w:t xml:space="preserve"> пенсионное обеспечение граждан данных категорий регулируют федеральные законы, в том числе от 15.05.1991 № 1244-1-ФЗ «О социальной защите граждан, подвергшихся воздействию радиации вследствие катастрофы на Чернобыльской АЭС», от 10.01.2002 № 2-ФЗ «О социальных гарантиях гражданам, подвергшимся радиационному воздействию вследствие ядерных испытаний на Семипалатинском полигоне», от 26.11.1998 № 175–ФЗ «О социальной</w:t>
      </w:r>
      <w:proofErr w:type="gramEnd"/>
      <w:r w:rsidRPr="005F4BF9">
        <w:rPr>
          <w:sz w:val="28"/>
          <w:szCs w:val="28"/>
        </w:rPr>
        <w:t xml:space="preserve">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5F4BF9">
        <w:rPr>
          <w:sz w:val="28"/>
          <w:szCs w:val="28"/>
        </w:rPr>
        <w:t>Теча</w:t>
      </w:r>
      <w:proofErr w:type="spellEnd"/>
      <w:r w:rsidRPr="005F4BF9">
        <w:rPr>
          <w:sz w:val="28"/>
          <w:szCs w:val="28"/>
        </w:rPr>
        <w:t>», а также от 15.12.2001 № 166-ФЗ «О государственном пенсионном обеспечении в Российской Федерации», от 28.12.2013 № 400-ФЗ «О страховых пенсиях».</w:t>
      </w:r>
    </w:p>
    <w:p w:rsidR="00803A2C" w:rsidRDefault="00803A2C" w:rsidP="00803A2C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117715" w:rsidRDefault="00117715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5F4BF9" w:rsidRDefault="005F4BF9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5F4BF9" w:rsidRPr="00874C8E" w:rsidRDefault="005F4BF9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D2" w:rsidRDefault="00940CD2">
      <w:r>
        <w:separator/>
      </w:r>
    </w:p>
  </w:endnote>
  <w:endnote w:type="continuationSeparator" w:id="0">
    <w:p w:rsidR="00940CD2" w:rsidRDefault="0094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940C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CD2" w:rsidRDefault="00940C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940CD2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D2" w:rsidRDefault="00940CD2">
      <w:r>
        <w:separator/>
      </w:r>
    </w:p>
  </w:footnote>
  <w:footnote w:type="continuationSeparator" w:id="0">
    <w:p w:rsidR="00940CD2" w:rsidRDefault="0094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940CD2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940CD2" w:rsidRDefault="00940CD2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940CD2" w:rsidRPr="00197A7E" w:rsidRDefault="00940CD2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940CD2" w:rsidRPr="00197A7E" w:rsidRDefault="00940CD2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71DDD"/>
    <w:multiLevelType w:val="hybridMultilevel"/>
    <w:tmpl w:val="B8C8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70F9"/>
    <w:multiLevelType w:val="multilevel"/>
    <w:tmpl w:val="B53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5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8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48"/>
  </w:num>
  <w:num w:numId="4">
    <w:abstractNumId w:val="45"/>
  </w:num>
  <w:num w:numId="5">
    <w:abstractNumId w:val="39"/>
  </w:num>
  <w:num w:numId="6">
    <w:abstractNumId w:val="14"/>
  </w:num>
  <w:num w:numId="7">
    <w:abstractNumId w:val="16"/>
  </w:num>
  <w:num w:numId="8">
    <w:abstractNumId w:val="15"/>
  </w:num>
  <w:num w:numId="9">
    <w:abstractNumId w:val="46"/>
  </w:num>
  <w:num w:numId="10">
    <w:abstractNumId w:val="4"/>
  </w:num>
  <w:num w:numId="11">
    <w:abstractNumId w:val="3"/>
  </w:num>
  <w:num w:numId="12">
    <w:abstractNumId w:val="19"/>
  </w:num>
  <w:num w:numId="13">
    <w:abstractNumId w:val="6"/>
  </w:num>
  <w:num w:numId="14">
    <w:abstractNumId w:val="47"/>
  </w:num>
  <w:num w:numId="15">
    <w:abstractNumId w:val="43"/>
  </w:num>
  <w:num w:numId="16">
    <w:abstractNumId w:val="31"/>
  </w:num>
  <w:num w:numId="17">
    <w:abstractNumId w:val="18"/>
  </w:num>
  <w:num w:numId="18">
    <w:abstractNumId w:val="41"/>
  </w:num>
  <w:num w:numId="19">
    <w:abstractNumId w:val="40"/>
  </w:num>
  <w:num w:numId="20">
    <w:abstractNumId w:val="10"/>
  </w:num>
  <w:num w:numId="21">
    <w:abstractNumId w:val="28"/>
  </w:num>
  <w:num w:numId="22">
    <w:abstractNumId w:val="32"/>
  </w:num>
  <w:num w:numId="23">
    <w:abstractNumId w:val="1"/>
  </w:num>
  <w:num w:numId="24">
    <w:abstractNumId w:val="12"/>
  </w:num>
  <w:num w:numId="25">
    <w:abstractNumId w:val="44"/>
  </w:num>
  <w:num w:numId="26">
    <w:abstractNumId w:val="0"/>
  </w:num>
  <w:num w:numId="27">
    <w:abstractNumId w:val="33"/>
  </w:num>
  <w:num w:numId="28">
    <w:abstractNumId w:val="42"/>
  </w:num>
  <w:num w:numId="29">
    <w:abstractNumId w:val="21"/>
  </w:num>
  <w:num w:numId="30">
    <w:abstractNumId w:val="11"/>
  </w:num>
  <w:num w:numId="31">
    <w:abstractNumId w:val="5"/>
  </w:num>
  <w:num w:numId="32">
    <w:abstractNumId w:val="29"/>
  </w:num>
  <w:num w:numId="33">
    <w:abstractNumId w:val="26"/>
  </w:num>
  <w:num w:numId="34">
    <w:abstractNumId w:val="37"/>
  </w:num>
  <w:num w:numId="35">
    <w:abstractNumId w:val="20"/>
  </w:num>
  <w:num w:numId="36">
    <w:abstractNumId w:val="22"/>
  </w:num>
  <w:num w:numId="37">
    <w:abstractNumId w:val="30"/>
  </w:num>
  <w:num w:numId="38">
    <w:abstractNumId w:val="23"/>
  </w:num>
  <w:num w:numId="39">
    <w:abstractNumId w:val="34"/>
  </w:num>
  <w:num w:numId="40">
    <w:abstractNumId w:val="38"/>
  </w:num>
  <w:num w:numId="41">
    <w:abstractNumId w:val="13"/>
  </w:num>
  <w:num w:numId="42">
    <w:abstractNumId w:val="27"/>
  </w:num>
  <w:num w:numId="43">
    <w:abstractNumId w:val="17"/>
  </w:num>
  <w:num w:numId="44">
    <w:abstractNumId w:val="36"/>
  </w:num>
  <w:num w:numId="45">
    <w:abstractNumId w:val="35"/>
  </w:num>
  <w:num w:numId="46">
    <w:abstractNumId w:val="25"/>
  </w:num>
  <w:num w:numId="47">
    <w:abstractNumId w:val="2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015F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3A8"/>
    <w:rsid w:val="000F380B"/>
    <w:rsid w:val="000F6215"/>
    <w:rsid w:val="000F7E0A"/>
    <w:rsid w:val="001006E7"/>
    <w:rsid w:val="00102643"/>
    <w:rsid w:val="001078EC"/>
    <w:rsid w:val="001153EB"/>
    <w:rsid w:val="00117715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527F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E67E9"/>
    <w:rsid w:val="001F22C2"/>
    <w:rsid w:val="001F2638"/>
    <w:rsid w:val="001F7150"/>
    <w:rsid w:val="00203BAA"/>
    <w:rsid w:val="0021087E"/>
    <w:rsid w:val="002109B5"/>
    <w:rsid w:val="00210AC0"/>
    <w:rsid w:val="002178B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2E75"/>
    <w:rsid w:val="00305067"/>
    <w:rsid w:val="00310870"/>
    <w:rsid w:val="00314523"/>
    <w:rsid w:val="00322BEF"/>
    <w:rsid w:val="003311B2"/>
    <w:rsid w:val="00332E2C"/>
    <w:rsid w:val="00333810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070B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25709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4BF9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543B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03A2C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4C8E"/>
    <w:rsid w:val="008754FA"/>
    <w:rsid w:val="00880BDF"/>
    <w:rsid w:val="008840C7"/>
    <w:rsid w:val="008853B0"/>
    <w:rsid w:val="0088746E"/>
    <w:rsid w:val="0089068C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0CD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2153"/>
    <w:rsid w:val="00AD30B7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01F4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E5731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299B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1050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0FD0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603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27</cp:revision>
  <cp:lastPrinted>2022-04-01T09:10:00Z</cp:lastPrinted>
  <dcterms:created xsi:type="dcterms:W3CDTF">2022-02-08T10:19:00Z</dcterms:created>
  <dcterms:modified xsi:type="dcterms:W3CDTF">2022-04-27T13:28:00Z</dcterms:modified>
</cp:coreProperties>
</file>