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CC42BD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27638" w:rsidRDefault="00927638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927638" w:rsidRPr="00CC42BD" w:rsidRDefault="00927638" w:rsidP="00927638">
      <w:pPr>
        <w:pStyle w:val="1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bCs w:val="0"/>
          <w:kern w:val="0"/>
          <w:sz w:val="24"/>
          <w:szCs w:val="24"/>
        </w:rPr>
      </w:pPr>
      <w:bookmarkStart w:id="0" w:name="_GoBack"/>
      <w:r w:rsidRPr="00CC42BD">
        <w:rPr>
          <w:rFonts w:ascii="Segoe UI" w:eastAsia="Calibri" w:hAnsi="Segoe UI" w:cs="Segoe UI"/>
          <w:bCs w:val="0"/>
          <w:kern w:val="0"/>
          <w:sz w:val="24"/>
          <w:szCs w:val="24"/>
        </w:rPr>
        <w:t>Результаты внедрения целевых моделей упрощения процедур ведения бизнеса в Московской области по итогам полугодия</w:t>
      </w:r>
      <w:bookmarkEnd w:id="0"/>
    </w:p>
    <w:p w:rsidR="00927638" w:rsidRPr="00E82BB4" w:rsidRDefault="00927638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927638" w:rsidRPr="00927638" w:rsidRDefault="00803FF5" w:rsidP="00927638">
      <w:pPr>
        <w:pStyle w:val="a6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A07303">
        <w:rPr>
          <w:rFonts w:ascii="Segoe UI" w:hAnsi="Segoe UI" w:cs="Segoe UI"/>
          <w:b/>
          <w:color w:val="000000"/>
          <w:shd w:val="clear" w:color="auto" w:fill="FFFFFF"/>
        </w:rPr>
        <w:t>14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927638"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В целях упрощения процедур ведения бизнеса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="00927638"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и повышения инвестиционной привлекательности субъектов Российской Федерации разработаны и утверждены распоряжением Правительства Российской Федерации 12 целевых моделей. Утверждены такие модели и в Московской области.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Создание благоприятного инвестиционного климата Московской области предполагает, в том числе повышение качества и доступности учетно-регистрационных процедур.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Управление Росреестра по Московской области (Управление) приняло активное участие в разработке двух целевых моделей: «Постановка на кадастровый учет земельных участков и объектов недвижимого имущества» и «Регистрация права собственности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на земельные участки и объекты недвижимого имущества», которые успешно реализуются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в настоящее время.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В первую очередь данные целевые модели направлены на снижение административных барьеров, сокращение и соблюдение сроков предоставления государственных услуг Росреестра, а также на развитие бесконтактных технологий.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По каждому фактору целевых моделей определено целевое значение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и показатели, с помощью которых можно оценить процесс движения к поставленной цели.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Так, целевыми моделями определена необходимость сокращения количества решений об отказах и приостановлениях при проведении государственной регистрации прав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и государственного кадастровог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о учета. Доля принятых решений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о приостановлении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при осуществлении государственной регистрации прав до конца 2017 года должна составить 6,6%, при осуществлении государственного кадастрового учета – 18%, доля отказов – 1,2%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и 10% соответственно.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В настоящее время Управлением проводится работа, направленная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на снижение количества принятых реше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ний о приостановлении и отказе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при осуществлении учетно-регистрационных процедур и повышение качества предоставления государственных услуг Росреестра.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lastRenderedPageBreak/>
        <w:t xml:space="preserve">Также целевыми моделями определены показатели доли услуг Росреестра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 xml:space="preserve">по государственному кадастровому учету и государственной регистрации прав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на базе многофункциональных центров. Управлением целевые значения этих показателей достигнуты.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Стоит отметить, что реализация мероприятий целевых моделей осуществляется совместно с органами власти Подмосковья и достигнутые показатели являются результатом эффектив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ного взаимодействия Управления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и Правительства Московской области. 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48E9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761D8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07303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42BD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9DE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35C06E-39D3-4917-B9EE-7C1485A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31BD-13B0-4C4C-A337-5D43D246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9</cp:revision>
  <cp:lastPrinted>2017-08-07T08:09:00Z</cp:lastPrinted>
  <dcterms:created xsi:type="dcterms:W3CDTF">2017-08-07T11:04:00Z</dcterms:created>
  <dcterms:modified xsi:type="dcterms:W3CDTF">2017-08-14T13:00:00Z</dcterms:modified>
</cp:coreProperties>
</file>