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CA35E8">
        <w:t>________________</w:t>
      </w:r>
      <w:r>
        <w:t xml:space="preserve"> № </w:t>
      </w:r>
      <w:r w:rsidR="00CA35E8">
        <w:rPr>
          <w:u w:val="single"/>
        </w:rPr>
        <w:t>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B24C1" w:rsidRPr="000E1E0D" w:rsidRDefault="00B57016" w:rsidP="000E1E0D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0E1E0D">
        <w:t xml:space="preserve"> </w:t>
      </w:r>
      <w:r w:rsidR="00D42026" w:rsidRPr="00B57016">
        <w:t>городского округа Электросталь Московской области</w:t>
      </w:r>
      <w:r w:rsidR="000E1E0D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EA2BA2">
        <w:t xml:space="preserve">постановления Администрации городского округа Электросталь Московской области           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Default="00DB24C1" w:rsidP="00DB24C1">
      <w:pPr>
        <w:tabs>
          <w:tab w:val="center" w:pos="4677"/>
        </w:tabs>
        <w:jc w:val="both"/>
      </w:pPr>
    </w:p>
    <w:p w:rsidR="000E1E0D" w:rsidRDefault="000E1E0D" w:rsidP="00DB24C1">
      <w:pPr>
        <w:tabs>
          <w:tab w:val="center" w:pos="4677"/>
        </w:tabs>
        <w:jc w:val="both"/>
      </w:pPr>
    </w:p>
    <w:p w:rsidR="000E1E0D" w:rsidRDefault="000E1E0D" w:rsidP="00DB24C1">
      <w:pPr>
        <w:tabs>
          <w:tab w:val="center" w:pos="4677"/>
        </w:tabs>
        <w:jc w:val="both"/>
      </w:pPr>
    </w:p>
    <w:p w:rsidR="000E1E0D" w:rsidRPr="008A100B" w:rsidRDefault="000E1E0D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0E1E0D">
      <w:pPr>
        <w:jc w:val="both"/>
      </w:pPr>
    </w:p>
    <w:p w:rsidR="00DB24C1" w:rsidRDefault="00DB24C1" w:rsidP="000E1E0D">
      <w:pPr>
        <w:spacing w:line="240" w:lineRule="exact"/>
        <w:jc w:val="both"/>
      </w:pPr>
    </w:p>
    <w:p w:rsidR="000E1E0D" w:rsidRPr="0065591C" w:rsidRDefault="000E1E0D" w:rsidP="000E1E0D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CA35E8">
        <w:rPr>
          <w:rFonts w:cs="Times New Roman"/>
        </w:rPr>
        <w:t>_____________</w:t>
      </w:r>
      <w:r>
        <w:rPr>
          <w:rFonts w:cs="Times New Roman"/>
        </w:rPr>
        <w:t xml:space="preserve"> № </w:t>
      </w:r>
      <w:r w:rsidR="00CA35E8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414D72" w:rsidRPr="00414D72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414D72">
        <w:rPr>
          <w:rFonts w:cs="Times New Roman"/>
        </w:rPr>
        <w:t xml:space="preserve">в редакции постановления </w:t>
      </w:r>
      <w:r>
        <w:rPr>
          <w:rFonts w:cs="Times New Roman"/>
        </w:rPr>
        <w:t>Администрации городского округа Электросталь Московской области от 26.03.2020 №215/3)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4 254 749,06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974 350,59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10 218 136,91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2 022 193,87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278 576,83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17 056,00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14 751 462,80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3 013 600,46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оборудования для дошкольных образовательных организаций - победителей областного </w:t>
      </w:r>
      <w:r w:rsidR="000B23EA" w:rsidRPr="000B23EA">
        <w:rPr>
          <w:rFonts w:eastAsiaTheme="minorHAnsi" w:cs="Times New Roman"/>
          <w:lang w:eastAsia="en-US"/>
        </w:rPr>
        <w:lastRenderedPageBreak/>
        <w:t>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</w:t>
      </w:r>
      <w:r w:rsidRPr="0023682D">
        <w:rPr>
          <w:rFonts w:eastAsiaTheme="minorHAnsi" w:cs="Times New Roman"/>
          <w:lang w:eastAsia="en-US"/>
        </w:rPr>
        <w:lastRenderedPageBreak/>
        <w:t>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>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1221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61C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 w:rsidR="00261CA3"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0A5C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65419C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61CA3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2FA9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</w:t>
            </w:r>
            <w:r w:rsidRPr="00F742C1">
              <w:rPr>
                <w:sz w:val="20"/>
                <w:szCs w:val="20"/>
              </w:rPr>
              <w:lastRenderedPageBreak/>
              <w:t xml:space="preserve">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5 565 273,21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1 146 756,81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1 826 156,50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410 504,10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5 545 558,50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1 135 406,10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1 817 344,50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401 692,10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9 259,71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9 259,71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4212B" w:rsidRPr="00FE0B2D" w:rsidTr="00C655CD">
        <w:tc>
          <w:tcPr>
            <w:tcW w:w="567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4212B" w:rsidRPr="00160D77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4212B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F500C9" w:rsidRPr="001D37F6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5 547 418,50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1 135 778,10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1 815 614,50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401 346,10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 w:val="restart"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5 565 273,21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1 146 756,81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1 826 156,50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410 504,10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7 893 653,62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1 579 556,64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1 578 337,60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1 220 038,46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286 999,48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6 450 194,73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1 275 501,16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</w:tr>
      <w:tr w:rsidR="006400C7" w:rsidRPr="00025001" w:rsidTr="00D126C3">
        <w:trPr>
          <w:trHeight w:val="497"/>
        </w:trPr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lastRenderedPageBreak/>
              <w:t>7 842 708,54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1 554 575,56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1 201 548,38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268 509,40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6 417 739,73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1 269 010,16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18 490,08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18 490,08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18 490,08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18 490,08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7 132 083,84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1 422 267,14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1 017 033,84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228 157,14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1D013D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0E6C6A" w:rsidRPr="000E6C6A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3 192,74</w:t>
            </w:r>
          </w:p>
        </w:tc>
        <w:tc>
          <w:tcPr>
            <w:tcW w:w="993" w:type="dxa"/>
            <w:vAlign w:val="center"/>
          </w:tcPr>
          <w:p w:rsidR="000E6C6A" w:rsidRPr="000E6C6A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2 942,74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0E6C6A" w:rsidRPr="000E6C6A" w:rsidRDefault="000E6C6A" w:rsidP="000E6C6A">
            <w:pPr>
              <w:jc w:val="center"/>
              <w:rPr>
                <w:sz w:val="16"/>
                <w:szCs w:val="16"/>
              </w:rPr>
            </w:pPr>
            <w:r w:rsidRPr="000E6C6A">
              <w:rPr>
                <w:sz w:val="16"/>
                <w:szCs w:val="16"/>
              </w:rPr>
              <w:t>3 192,74</w:t>
            </w:r>
          </w:p>
        </w:tc>
        <w:tc>
          <w:tcPr>
            <w:tcW w:w="993" w:type="dxa"/>
            <w:vAlign w:val="center"/>
          </w:tcPr>
          <w:p w:rsidR="000E6C6A" w:rsidRPr="000E6C6A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2 942,74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57AA3" w:rsidRPr="00BE6A68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734 071,42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134 099,42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178 758,26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35 652,26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555 313,16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98 447,16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CF6F42" w:rsidRDefault="00CF6F42" w:rsidP="00CF6F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F6F42" w:rsidRPr="00FE0B2D" w:rsidRDefault="00CF6F42" w:rsidP="00CF6F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6F42" w:rsidRPr="00FE0B2D" w:rsidRDefault="00CF6F42" w:rsidP="00CF6F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204 004,18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75 177,78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162 295,93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33 469,53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F6F42" w:rsidRPr="00FE0B2D" w:rsidRDefault="00CF6F42" w:rsidP="00CF6F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CF6F42" w:rsidRPr="00FE0B2D" w:rsidRDefault="00CF6F42" w:rsidP="00CF6F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201 324,93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72 498,53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F6F42" w:rsidRPr="007D1D7A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162 295,93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33 469,53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 w:val="restart"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460E72" w:rsidRPr="00FE0B2D" w:rsidRDefault="00460E72" w:rsidP="00460E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460E72" w:rsidRPr="00FE0B2D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460E72" w:rsidRPr="00FE0B2D" w:rsidTr="006B03F7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92516" w:rsidRPr="00F92516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:rsidR="00F92516" w:rsidRPr="00FE0B2D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261 431,00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29 559,00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аттестации обучающихся, освоивших образовательные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F92516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7D1D7A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60E7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283"/>
        </w:trPr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 w:val="restart"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F54DFA" w:rsidRPr="00061B4B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4DFA" w:rsidRPr="00D54311" w:rsidRDefault="00F54DFA" w:rsidP="00F54DF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22 798,36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18 490,08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D54311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19 546,36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18 490,08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 w:val="restart"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F54DFA" w:rsidRDefault="00F54DFA" w:rsidP="00F54DF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F54DFA" w:rsidRPr="00FE0B2D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4DFA" w:rsidRPr="00496E6F" w:rsidRDefault="00F54DFA" w:rsidP="00F54DF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18 490,08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18 490,08</w:t>
            </w:r>
          </w:p>
        </w:tc>
        <w:tc>
          <w:tcPr>
            <w:tcW w:w="992" w:type="dxa"/>
            <w:vAlign w:val="center"/>
          </w:tcPr>
          <w:p w:rsidR="00F54DFA" w:rsidRPr="00496E6F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496E6F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496E6F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496E6F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F54DFA" w:rsidRPr="008C2590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18 490,08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18 490,08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</w:t>
            </w:r>
            <w:r w:rsidRPr="009D39BE">
              <w:rPr>
                <w:rFonts w:cs="Times New Roman"/>
                <w:sz w:val="16"/>
                <w:szCs w:val="16"/>
              </w:rPr>
              <w:lastRenderedPageBreak/>
              <w:t xml:space="preserve">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Закуплено оборудование для формирования у обучающихся современных технологических и </w:t>
            </w:r>
            <w:r w:rsidRPr="00987C78">
              <w:rPr>
                <w:rFonts w:cs="Times New Roman"/>
                <w:sz w:val="16"/>
                <w:szCs w:val="16"/>
              </w:rPr>
              <w:lastRenderedPageBreak/>
              <w:t>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 w:val="restart"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7 893 653,62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1 579 556,64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1 220 038,46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286 999,48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6 450 194,73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1 275 501,16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217A70">
        <w:trPr>
          <w:trHeight w:val="421"/>
        </w:trPr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20CA" w:rsidRPr="00B34CFC" w:rsidRDefault="00A520CA" w:rsidP="00A520CA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223 420,43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955 688,05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213 987,11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871 706,18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203 547,11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lastRenderedPageBreak/>
              <w:t>514 738,85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100 262,11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441 196,98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100 262,11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FF" w:rsidRPr="00FE0B2D" w:rsidTr="001F3789">
        <w:tc>
          <w:tcPr>
            <w:tcW w:w="567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346FF" w:rsidRPr="001B4EA7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819 037,91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153 698,11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6FF" w:rsidRPr="00FE0B2D" w:rsidTr="001F3789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819 037,91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153 698,11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="006B03F7">
              <w:rPr>
                <w:rFonts w:cs="Times New Roman"/>
                <w:sz w:val="16"/>
                <w:szCs w:val="16"/>
              </w:rPr>
              <w:t>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>0</w:t>
            </w:r>
            <w:r w:rsidR="006B03F7">
              <w:rPr>
                <w:rFonts w:cs="Times New Roman"/>
                <w:sz w:val="16"/>
                <w:szCs w:val="16"/>
              </w:rPr>
              <w:t>6</w:t>
            </w:r>
            <w:r w:rsidR="004B6F6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А1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Е2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 w:val="restart"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955 688,05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213 987,11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871 706,18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203 547,11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lastRenderedPageBreak/>
              <w:t>12 634,90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95C7D" w:rsidRPr="00C30587" w:rsidRDefault="00095C7D" w:rsidP="00095C7D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4DB" w:rsidRDefault="009F24D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54F33" w:rsidRPr="00025001" w:rsidTr="00646159">
        <w:tc>
          <w:tcPr>
            <w:tcW w:w="2551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336 847,92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73 299,90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D54F33" w:rsidRPr="00025001" w:rsidTr="00646159">
        <w:tc>
          <w:tcPr>
            <w:tcW w:w="2551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336 847,92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73 299,90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54F33" w:rsidRPr="00FE0B2D" w:rsidTr="00C07434">
        <w:tc>
          <w:tcPr>
            <w:tcW w:w="567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54F33" w:rsidRPr="00C07434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4F33" w:rsidRPr="00FE0B2D" w:rsidTr="00C07434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54F33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98 733,00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19 906,60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D54F33" w:rsidRPr="00FE0B2D" w:rsidTr="00646159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98 733,00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19 906,60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 (межшкольные учебные комбинаты, хозяйственные 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 w:val="restart"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0E1E0D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FC" w:rsidRDefault="007E7AFC" w:rsidP="00CA72CC">
      <w:r>
        <w:separator/>
      </w:r>
    </w:p>
  </w:endnote>
  <w:endnote w:type="continuationSeparator" w:id="0">
    <w:p w:rsidR="007E7AFC" w:rsidRDefault="007E7AFC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FC" w:rsidRDefault="007E7AFC" w:rsidP="00CA72CC">
      <w:r>
        <w:separator/>
      </w:r>
    </w:p>
  </w:footnote>
  <w:footnote w:type="continuationSeparator" w:id="0">
    <w:p w:rsidR="007E7AFC" w:rsidRDefault="007E7AFC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6B03F7" w:rsidRDefault="006B0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0D">
          <w:rPr>
            <w:noProof/>
          </w:rPr>
          <w:t>21</w:t>
        </w:r>
        <w:r>
          <w:fldChar w:fldCharType="end"/>
        </w:r>
      </w:p>
    </w:sdtContent>
  </w:sdt>
  <w:p w:rsidR="006B03F7" w:rsidRDefault="006B0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95C7D"/>
    <w:rsid w:val="000A5176"/>
    <w:rsid w:val="000A5CDE"/>
    <w:rsid w:val="000B23EA"/>
    <w:rsid w:val="000B4560"/>
    <w:rsid w:val="000C0BAB"/>
    <w:rsid w:val="000C0C1D"/>
    <w:rsid w:val="000C3112"/>
    <w:rsid w:val="000D1A8E"/>
    <w:rsid w:val="000E025A"/>
    <w:rsid w:val="000E1E0D"/>
    <w:rsid w:val="000E3854"/>
    <w:rsid w:val="000E6C6A"/>
    <w:rsid w:val="000F17DC"/>
    <w:rsid w:val="000F23F2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21ABF"/>
    <w:rsid w:val="00130ACB"/>
    <w:rsid w:val="00143647"/>
    <w:rsid w:val="001509B0"/>
    <w:rsid w:val="00160D77"/>
    <w:rsid w:val="00162CBB"/>
    <w:rsid w:val="001634FC"/>
    <w:rsid w:val="00183F39"/>
    <w:rsid w:val="00185FD7"/>
    <w:rsid w:val="00190BEC"/>
    <w:rsid w:val="00195880"/>
    <w:rsid w:val="001A4A02"/>
    <w:rsid w:val="001A54E9"/>
    <w:rsid w:val="001A6B99"/>
    <w:rsid w:val="001A6C48"/>
    <w:rsid w:val="001B08A8"/>
    <w:rsid w:val="001B09B4"/>
    <w:rsid w:val="001B2745"/>
    <w:rsid w:val="001B4EA7"/>
    <w:rsid w:val="001C0D22"/>
    <w:rsid w:val="001C165D"/>
    <w:rsid w:val="001D013D"/>
    <w:rsid w:val="001D37F6"/>
    <w:rsid w:val="001D6DE8"/>
    <w:rsid w:val="001E2713"/>
    <w:rsid w:val="001E2969"/>
    <w:rsid w:val="001E3362"/>
    <w:rsid w:val="001E40FE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7AB6"/>
    <w:rsid w:val="002705D3"/>
    <w:rsid w:val="0027085E"/>
    <w:rsid w:val="002762A2"/>
    <w:rsid w:val="00287264"/>
    <w:rsid w:val="00290259"/>
    <w:rsid w:val="002931E3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16C6"/>
    <w:rsid w:val="00307D75"/>
    <w:rsid w:val="00312507"/>
    <w:rsid w:val="00315CCC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14D72"/>
    <w:rsid w:val="00417FD1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2488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08F"/>
    <w:rsid w:val="004F41C7"/>
    <w:rsid w:val="005054DC"/>
    <w:rsid w:val="0051313E"/>
    <w:rsid w:val="00516BE3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334C"/>
    <w:rsid w:val="005C370B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347F"/>
    <w:rsid w:val="00626788"/>
    <w:rsid w:val="006324F3"/>
    <w:rsid w:val="0063331B"/>
    <w:rsid w:val="006338AE"/>
    <w:rsid w:val="006400C7"/>
    <w:rsid w:val="00646159"/>
    <w:rsid w:val="0065419C"/>
    <w:rsid w:val="006633BD"/>
    <w:rsid w:val="006650E9"/>
    <w:rsid w:val="00665767"/>
    <w:rsid w:val="00676422"/>
    <w:rsid w:val="00677181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6787"/>
    <w:rsid w:val="00742505"/>
    <w:rsid w:val="00743058"/>
    <w:rsid w:val="007477AC"/>
    <w:rsid w:val="00750F52"/>
    <w:rsid w:val="0075435C"/>
    <w:rsid w:val="00756E0A"/>
    <w:rsid w:val="00756F6E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4CBE"/>
    <w:rsid w:val="00884DFD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65C42"/>
    <w:rsid w:val="00973498"/>
    <w:rsid w:val="00974D14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97263"/>
    <w:rsid w:val="00BA58F5"/>
    <w:rsid w:val="00BA6F8D"/>
    <w:rsid w:val="00BA7F25"/>
    <w:rsid w:val="00BB5306"/>
    <w:rsid w:val="00BB7CB0"/>
    <w:rsid w:val="00BC25D0"/>
    <w:rsid w:val="00BC5A73"/>
    <w:rsid w:val="00BD0BED"/>
    <w:rsid w:val="00BD3933"/>
    <w:rsid w:val="00BD4BB9"/>
    <w:rsid w:val="00BE041E"/>
    <w:rsid w:val="00BE0AFF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4212B"/>
    <w:rsid w:val="00C47254"/>
    <w:rsid w:val="00C54539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1878"/>
    <w:rsid w:val="00CA35E8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6C00"/>
    <w:rsid w:val="00D574F2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36CD"/>
    <w:rsid w:val="00E346FF"/>
    <w:rsid w:val="00E34A92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5408"/>
    <w:rsid w:val="00FD3545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7D57-517A-4638-B5BF-105562A0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71</Pages>
  <Words>17765</Words>
  <Characters>101266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163</cp:revision>
  <cp:lastPrinted>2020-03-04T07:22:00Z</cp:lastPrinted>
  <dcterms:created xsi:type="dcterms:W3CDTF">2019-11-25T11:58:00Z</dcterms:created>
  <dcterms:modified xsi:type="dcterms:W3CDTF">2020-06-02T14:26:00Z</dcterms:modified>
</cp:coreProperties>
</file>