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40" w:rsidRPr="00BB2882" w:rsidRDefault="00F16B40" w:rsidP="00F16B40">
      <w:pPr>
        <w:ind w:left="5670" w:right="-2"/>
        <w:contextualSpacing/>
        <w:rPr>
          <w:rFonts w:ascii="Times New Roman" w:hAnsi="Times New Roman"/>
          <w:sz w:val="24"/>
          <w:szCs w:val="24"/>
        </w:rPr>
      </w:pPr>
      <w:bookmarkStart w:id="0" w:name="_Toc473648633"/>
      <w:bookmarkStart w:id="1" w:name="_Toc496619623"/>
      <w:r w:rsidRPr="00BB2882">
        <w:rPr>
          <w:rFonts w:ascii="Times New Roman" w:hAnsi="Times New Roman"/>
          <w:sz w:val="24"/>
          <w:szCs w:val="24"/>
        </w:rPr>
        <w:t>УТВЕРЖДЕН</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от «__</w:t>
      </w:r>
      <w:proofErr w:type="gramStart"/>
      <w:r w:rsidRPr="00BB2882">
        <w:rPr>
          <w:rFonts w:ascii="Times New Roman" w:hAnsi="Times New Roman"/>
          <w:sz w:val="24"/>
          <w:szCs w:val="24"/>
        </w:rPr>
        <w:t>_»_</w:t>
      </w:r>
      <w:proofErr w:type="gramEnd"/>
      <w:r w:rsidRPr="00BB2882">
        <w:rPr>
          <w:rFonts w:ascii="Times New Roman" w:hAnsi="Times New Roman"/>
          <w:sz w:val="24"/>
          <w:szCs w:val="24"/>
        </w:rPr>
        <w:t>_______2018</w:t>
      </w:r>
      <w:r w:rsidR="00F16B40" w:rsidRPr="00BB2882">
        <w:rPr>
          <w:rFonts w:ascii="Times New Roman" w:hAnsi="Times New Roman"/>
          <w:sz w:val="24"/>
          <w:szCs w:val="24"/>
        </w:rPr>
        <w:t xml:space="preserve"> г. № _____</w:t>
      </w:r>
    </w:p>
    <w:p w:rsidR="00F16B40" w:rsidRPr="00BB2882" w:rsidRDefault="00F16B40" w:rsidP="00F16B40">
      <w:pPr>
        <w:widowControl w:val="0"/>
        <w:tabs>
          <w:tab w:val="left" w:pos="0"/>
          <w:tab w:val="left" w:pos="1701"/>
          <w:tab w:val="left" w:pos="1843"/>
        </w:tabs>
        <w:autoSpaceDE w:val="0"/>
        <w:autoSpaceDN w:val="0"/>
        <w:adjustRightInd w:val="0"/>
        <w:ind w:left="5670" w:right="-2"/>
        <w:contextualSpacing/>
        <w:rPr>
          <w:rFonts w:ascii="Times New Roman" w:eastAsia="PMingLiU" w:hAnsi="Times New Roman"/>
          <w:b/>
          <w:bCs/>
          <w:sz w:val="24"/>
          <w:szCs w:val="24"/>
        </w:rPr>
      </w:pPr>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F16B40">
      <w:pPr>
        <w:widowControl w:val="0"/>
        <w:tabs>
          <w:tab w:val="left" w:pos="0"/>
        </w:tabs>
        <w:autoSpaceDE w:val="0"/>
        <w:autoSpaceDN w:val="0"/>
        <w:adjustRightInd w:val="0"/>
        <w:ind w:right="-2"/>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F16B40" w:rsidP="00F16B40">
      <w:pPr>
        <w:widowControl w:val="0"/>
        <w:tabs>
          <w:tab w:val="left" w:pos="0"/>
        </w:tabs>
        <w:autoSpaceDE w:val="0"/>
        <w:autoSpaceDN w:val="0"/>
        <w:adjustRightInd w:val="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предоставления муниципальной услуги </w:t>
      </w:r>
      <w:r w:rsidR="00E427CB">
        <w:rPr>
          <w:rFonts w:ascii="Times New Roman" w:eastAsia="PMingLiU" w:hAnsi="Times New Roman"/>
          <w:bCs/>
          <w:sz w:val="24"/>
          <w:szCs w:val="24"/>
        </w:rPr>
        <w:t>В</w:t>
      </w:r>
      <w:r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Pr="00E427CB">
        <w:rPr>
          <w:rFonts w:ascii="Times New Roman" w:eastAsia="PMingLiU" w:hAnsi="Times New Roman"/>
          <w:bCs/>
          <w:sz w:val="24"/>
          <w:szCs w:val="24"/>
        </w:rPr>
        <w:t xml:space="preserve"> выписок</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из Реестра</w:t>
      </w:r>
    </w:p>
    <w:p w:rsidR="00F16B40" w:rsidRPr="00E427CB" w:rsidRDefault="00F16B40" w:rsidP="00F16B40">
      <w:pPr>
        <w:widowControl w:val="0"/>
        <w:tabs>
          <w:tab w:val="left" w:pos="0"/>
        </w:tabs>
        <w:autoSpaceDE w:val="0"/>
        <w:autoSpaceDN w:val="0"/>
        <w:adjustRightInd w:val="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городского округа Электросталь Московской области</w:t>
      </w:r>
      <w:r w:rsidR="00E427CB">
        <w:rPr>
          <w:rFonts w:ascii="Times New Roman" w:eastAsia="PMingLiU" w:hAnsi="Times New Roman"/>
          <w:bCs/>
          <w:sz w:val="24"/>
          <w:szCs w:val="24"/>
        </w:rPr>
        <w:t>»</w:t>
      </w:r>
    </w:p>
    <w:p w:rsidR="00F16B40" w:rsidRPr="00F16B40" w:rsidRDefault="00F16B40" w:rsidP="00445E68">
      <w:pPr>
        <w:pStyle w:val="1-"/>
        <w:ind w:firstLine="567"/>
        <w:rPr>
          <w:sz w:val="24"/>
          <w:szCs w:val="24"/>
        </w:rPr>
      </w:pPr>
    </w:p>
    <w:p w:rsidR="00447F8B" w:rsidRPr="008E7301" w:rsidRDefault="00761EAB" w:rsidP="00445E68">
      <w:pPr>
        <w:pStyle w:val="1-"/>
        <w:ind w:firstLine="567"/>
        <w:rPr>
          <w:sz w:val="24"/>
          <w:szCs w:val="24"/>
        </w:rPr>
      </w:pPr>
      <w:r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496619624"/>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47566E">
        <w:rPr>
          <w:sz w:val="24"/>
          <w:szCs w:val="24"/>
        </w:rPr>
        <w:t xml:space="preserve"> </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510E8">
        <w:fldChar w:fldCharType="begin"/>
      </w:r>
      <w:r w:rsidR="004510E8">
        <w:instrText xml:space="preserve"> REF _Ref440651123 \r \h  \* MERGEFORMAT </w:instrText>
      </w:r>
      <w:r w:rsidR="004510E8">
        <w:fldChar w:fldCharType="separate"/>
      </w:r>
      <w:r w:rsidR="006F0AEF" w:rsidRPr="006F0AEF">
        <w:rPr>
          <w:sz w:val="24"/>
          <w:szCs w:val="24"/>
        </w:rPr>
        <w:t>2.1</w:t>
      </w:r>
      <w:r w:rsidR="004510E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lastRenderedPageBreak/>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0B48ED" w:rsidRPr="000C4811" w:rsidRDefault="00667335" w:rsidP="004510E8">
      <w:pPr>
        <w:pStyle w:val="12"/>
        <w:spacing w:before="240"/>
        <w:jc w:val="center"/>
        <w:rPr>
          <w:rStyle w:val="afff8"/>
        </w:rPr>
      </w:pPr>
      <w:bookmarkStart w:id="43" w:name="_Toc496619628"/>
      <w:r w:rsidRPr="000C4811">
        <w:rPr>
          <w:rStyle w:val="afff8"/>
        </w:rPr>
        <w:t>II</w:t>
      </w:r>
      <w:r w:rsidR="000E6C84" w:rsidRPr="000C4811">
        <w:rPr>
          <w:rStyle w:val="afff8"/>
        </w:rPr>
        <w:t xml:space="preserve">. Стандарт предоставления </w:t>
      </w:r>
      <w:r w:rsidR="00221FAF" w:rsidRPr="000C4811">
        <w:rPr>
          <w:rStyle w:val="afff8"/>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2651D5" w:rsidP="00D56511">
      <w:pPr>
        <w:pStyle w:val="11"/>
        <w:ind w:left="0" w:firstLine="567"/>
        <w:rPr>
          <w:sz w:val="24"/>
        </w:rPr>
      </w:pPr>
      <w:r>
        <w:rPr>
          <w:sz w:val="24"/>
          <w:szCs w:val="24"/>
        </w:rPr>
        <w:t>Уполномоченный орган</w:t>
      </w:r>
      <w:r w:rsidRPr="00675B7A">
        <w:rPr>
          <w:sz w:val="24"/>
        </w:rPr>
        <w:t xml:space="preserve"> </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lastRenderedPageBreak/>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lastRenderedPageBreak/>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lastRenderedPageBreak/>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4510E8" w:rsidRDefault="00525AA7" w:rsidP="00525AA7">
      <w:pPr>
        <w:pStyle w:val="11"/>
        <w:numPr>
          <w:ilvl w:val="0"/>
          <w:numId w:val="0"/>
        </w:numPr>
        <w:ind w:left="1854" w:hanging="720"/>
        <w:rPr>
          <w:sz w:val="10"/>
          <w:szCs w:val="24"/>
        </w:rPr>
      </w:pP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96619640"/>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7" w:name="_Toc473648651"/>
      <w:bookmarkStart w:id="158" w:name="_Toc496619641"/>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rsidR="004806F7" w:rsidRPr="004806F7" w:rsidRDefault="004806F7" w:rsidP="004806F7">
      <w:pPr>
        <w:pStyle w:val="11"/>
        <w:numPr>
          <w:ilvl w:val="0"/>
          <w:numId w:val="0"/>
        </w:numPr>
        <w:ind w:firstLine="567"/>
        <w:rPr>
          <w:color w:val="000000"/>
          <w:sz w:val="24"/>
          <w:szCs w:val="24"/>
          <w:shd w:val="clear" w:color="auto" w:fill="FFFFFF"/>
        </w:rPr>
      </w:pPr>
      <w:bookmarkStart w:id="159" w:name="_Toc496619642"/>
      <w:bookmarkStart w:id="160" w:name="_Toc438110036"/>
      <w:bookmarkStart w:id="161" w:name="_Toc438376241"/>
      <w:bookmarkStart w:id="162"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59"/>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3" w:name="_Toc473648652"/>
      <w:bookmarkStart w:id="164"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8F1C97">
      <w:pPr>
        <w:pStyle w:val="113"/>
        <w:ind w:firstLine="567"/>
        <w:rPr>
          <w:sz w:val="24"/>
          <w:szCs w:val="24"/>
        </w:rPr>
      </w:pPr>
      <w:bookmarkStart w:id="165" w:name="_Toc438110037"/>
      <w:bookmarkStart w:id="166"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w:t>
      </w:r>
      <w:r w:rsidRPr="00E234F8">
        <w:rPr>
          <w:sz w:val="24"/>
          <w:szCs w:val="24"/>
        </w:rPr>
        <w:lastRenderedPageBreak/>
        <w:t>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bookmarkStart w:id="167" w:name="_GoBack"/>
      <w:bookmarkEnd w:id="167"/>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2"/>
      <w:bookmarkEnd w:id="165"/>
      <w:bookmarkEnd w:id="16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w:t>
      </w:r>
      <w:r w:rsidR="00E10FA1" w:rsidRPr="00E10FA1">
        <w:rPr>
          <w:rFonts w:ascii="Times New Roman" w:hAnsi="Times New Roman"/>
          <w:sz w:val="24"/>
          <w:szCs w:val="24"/>
        </w:rPr>
        <w:lastRenderedPageBreak/>
        <w:t xml:space="preserve">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lastRenderedPageBreak/>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w:t>
      </w:r>
      <w:r w:rsidR="00525AA7" w:rsidRPr="00525AA7">
        <w:rPr>
          <w:b w:val="0"/>
          <w:i w:val="0"/>
          <w:sz w:val="24"/>
          <w:szCs w:val="24"/>
        </w:rPr>
        <w:lastRenderedPageBreak/>
        <w:t xml:space="preserve">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Pr="00CA49E3">
        <w:rPr>
          <w:b w:val="0"/>
          <w:i w:val="0"/>
          <w:sz w:val="24"/>
          <w:szCs w:val="24"/>
        </w:rPr>
        <w:t>и должностных лиц</w:t>
      </w:r>
      <w:r w:rsidR="00C5687A" w:rsidRPr="00C5687A">
        <w:rPr>
          <w:b w:val="0"/>
          <w:i w:val="0"/>
          <w:sz w:val="24"/>
          <w:szCs w:val="24"/>
        </w:rPr>
        <w:t xml:space="preserve"> </w:t>
      </w:r>
      <w:r w:rsidR="00C5687A">
        <w:rPr>
          <w:b w:val="0"/>
          <w:i w:val="0"/>
          <w:sz w:val="24"/>
          <w:szCs w:val="24"/>
        </w:rPr>
        <w:t>Уполномоченного органа</w:t>
      </w:r>
      <w:r w:rsidR="00C5687A" w:rsidRPr="00CA49E3">
        <w:rPr>
          <w:b w:val="0"/>
          <w:i w:val="0"/>
          <w:sz w:val="24"/>
          <w:szCs w:val="24"/>
        </w:rPr>
        <w:t xml:space="preserve">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b w:val="0"/>
          <w:i w:val="0"/>
          <w:sz w:val="24"/>
          <w:szCs w:val="24"/>
        </w:rPr>
        <w:t xml:space="preserve"> </w:t>
      </w:r>
      <w:r w:rsidR="00C5687A" w:rsidRPr="00C5687A">
        <w:rPr>
          <w:sz w:val="24"/>
          <w:szCs w:val="24"/>
        </w:rPr>
        <w:t>Уполномоченного органа</w:t>
      </w:r>
      <w:r w:rsidR="00C5687A"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b/>
          <w:i/>
          <w:sz w:val="24"/>
          <w:szCs w:val="24"/>
        </w:rPr>
        <w:t xml:space="preserve"> </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C5687A">
        <w:rPr>
          <w:sz w:val="24"/>
          <w:szCs w:val="24"/>
        </w:rPr>
        <w:t>Уполномоченного органа</w:t>
      </w:r>
      <w:r w:rsidR="001D4BC3">
        <w:rPr>
          <w:sz w:val="24"/>
          <w:szCs w:val="24"/>
        </w:rPr>
        <w:t>,</w:t>
      </w:r>
      <w:r w:rsidR="00C5687A" w:rsidRPr="00CA49E3">
        <w:rPr>
          <w:b/>
          <w:i/>
          <w:sz w:val="24"/>
          <w:szCs w:val="24"/>
        </w:rPr>
        <w:t xml:space="preserve"> </w:t>
      </w:r>
      <w:r w:rsidRPr="002C07FF">
        <w:rPr>
          <w:sz w:val="24"/>
          <w:szCs w:val="24"/>
        </w:rPr>
        <w:t>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lastRenderedPageBreak/>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Pr>
          <w:sz w:val="24"/>
          <w:szCs w:val="24"/>
        </w:rPr>
        <w:t xml:space="preserve"> </w:t>
      </w:r>
      <w:r w:rsidR="00822B71" w:rsidRPr="00822B71">
        <w:rPr>
          <w:sz w:val="24"/>
          <w:szCs w:val="24"/>
        </w:rPr>
        <w:t xml:space="preserve">Уполномоченного </w:t>
      </w:r>
      <w:proofErr w:type="gramStart"/>
      <w:r w:rsidR="00822B71" w:rsidRPr="00822B71">
        <w:rPr>
          <w:sz w:val="24"/>
          <w:szCs w:val="24"/>
        </w:rPr>
        <w:t xml:space="preserve">органа </w:t>
      </w:r>
      <w:r w:rsidRPr="002C07FF">
        <w:rPr>
          <w:sz w:val="24"/>
          <w:szCs w:val="24"/>
        </w:rPr>
        <w:t>,</w:t>
      </w:r>
      <w:proofErr w:type="gramEnd"/>
      <w:r w:rsidRPr="002C07FF">
        <w:rPr>
          <w:sz w:val="24"/>
          <w:szCs w:val="24"/>
        </w:rPr>
        <w:t xml:space="preserve">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Pr>
          <w:sz w:val="24"/>
          <w:szCs w:val="24"/>
        </w:rPr>
        <w:t xml:space="preserve"> </w:t>
      </w:r>
      <w:r w:rsidR="00822B71" w:rsidRPr="00822B71">
        <w:rPr>
          <w:sz w:val="24"/>
          <w:szCs w:val="24"/>
        </w:rPr>
        <w:t>Уполномоченного органа</w:t>
      </w:r>
      <w:r w:rsidR="00822B71">
        <w:rPr>
          <w:b/>
          <w:i/>
          <w:sz w:val="24"/>
          <w:szCs w:val="24"/>
        </w:rPr>
        <w:t xml:space="preserve"> </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Pr>
          <w:sz w:val="24"/>
          <w:szCs w:val="24"/>
        </w:rPr>
        <w:t xml:space="preserve"> </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 xml:space="preserve">Уполномоченного </w:t>
      </w:r>
      <w:proofErr w:type="gramStart"/>
      <w:r w:rsidR="00822B71">
        <w:rPr>
          <w:sz w:val="24"/>
          <w:szCs w:val="24"/>
          <w:lang w:eastAsia="ar-SA"/>
        </w:rPr>
        <w:t>органа</w:t>
      </w:r>
      <w:r w:rsidRPr="009B275A">
        <w:rPr>
          <w:sz w:val="24"/>
          <w:szCs w:val="24"/>
          <w:lang w:eastAsia="ar-SA"/>
        </w:rPr>
        <w:t xml:space="preserve">  в</w:t>
      </w:r>
      <w:proofErr w:type="gramEnd"/>
      <w:r w:rsidRPr="009B275A">
        <w:rPr>
          <w:sz w:val="24"/>
          <w:szCs w:val="24"/>
          <w:lang w:eastAsia="ar-SA"/>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предост</w:t>
      </w:r>
      <w:r w:rsidR="001D4BC3">
        <w:rPr>
          <w:sz w:val="24"/>
          <w:szCs w:val="24"/>
          <w:lang w:eastAsia="ar-SA"/>
        </w:rPr>
        <w:t xml:space="preserve">авляющей Муниципальную услугу, </w:t>
      </w:r>
      <w:r w:rsidRPr="009B275A">
        <w:rPr>
          <w:sz w:val="24"/>
          <w:szCs w:val="24"/>
          <w:lang w:eastAsia="ar-SA"/>
        </w:rPr>
        <w:t xml:space="preserve">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lastRenderedPageBreak/>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lastRenderedPageBreak/>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Жалоба, поступившая в уполномоченн</w:t>
      </w:r>
      <w:r w:rsidR="00822B71">
        <w:rPr>
          <w:sz w:val="24"/>
          <w:szCs w:val="24"/>
          <w:lang w:eastAsia="ar-SA"/>
        </w:rPr>
        <w:t>ый</w:t>
      </w:r>
      <w:r w:rsidRPr="009B275A">
        <w:rPr>
          <w:sz w:val="24"/>
          <w:szCs w:val="24"/>
          <w:lang w:eastAsia="ar-SA"/>
        </w:rPr>
        <w:t xml:space="preserve"> на ее рассмотрение </w:t>
      </w:r>
      <w:r w:rsidR="00822B71">
        <w:rPr>
          <w:sz w:val="24"/>
          <w:szCs w:val="24"/>
          <w:lang w:eastAsia="ar-SA"/>
        </w:rPr>
        <w:t>Уполномоченный орган</w:t>
      </w:r>
      <w:r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Pr="009B275A">
        <w:rPr>
          <w:sz w:val="24"/>
          <w:szCs w:val="24"/>
          <w:lang w:eastAsia="ar-SA"/>
        </w:rPr>
        <w:t xml:space="preserve">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Pr="009B275A">
        <w:rPr>
          <w:sz w:val="24"/>
          <w:szCs w:val="24"/>
          <w:lang w:eastAsia="ar-SA"/>
        </w:rPr>
        <w:t>, предоставляюще</w:t>
      </w:r>
      <w:r w:rsidR="00822B71">
        <w:rPr>
          <w:sz w:val="24"/>
          <w:szCs w:val="24"/>
          <w:lang w:eastAsia="ar-SA"/>
        </w:rPr>
        <w:t>го</w:t>
      </w:r>
      <w:r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 xml:space="preserve">«Об организации предоставления </w:t>
      </w:r>
      <w:r w:rsidRPr="009B275A">
        <w:rPr>
          <w:sz w:val="24"/>
          <w:szCs w:val="24"/>
          <w:lang w:eastAsia="ar-SA"/>
        </w:rPr>
        <w:lastRenderedPageBreak/>
        <w:t xml:space="preserve">государственных и муниципальных услуг» уполномоченное на ее рассмотрение должностное лицо </w:t>
      </w:r>
      <w:r w:rsidR="00822B71">
        <w:rPr>
          <w:sz w:val="24"/>
          <w:szCs w:val="24"/>
          <w:lang w:eastAsia="ar-SA"/>
        </w:rPr>
        <w:t>Уполномоченн</w:t>
      </w:r>
      <w:r w:rsidR="001D4BC3">
        <w:rPr>
          <w:sz w:val="24"/>
          <w:szCs w:val="24"/>
          <w:lang w:eastAsia="ar-SA"/>
        </w:rPr>
        <w:t>ого</w:t>
      </w:r>
      <w:r w:rsidR="00822B71">
        <w:rPr>
          <w:sz w:val="24"/>
          <w:szCs w:val="24"/>
          <w:lang w:eastAsia="ar-SA"/>
        </w:rPr>
        <w:t xml:space="preserve"> орган</w:t>
      </w:r>
      <w:r w:rsidR="001D4BC3">
        <w:rPr>
          <w:sz w:val="24"/>
          <w:szCs w:val="24"/>
          <w:lang w:eastAsia="ar-SA"/>
        </w:rPr>
        <w:t>а</w:t>
      </w:r>
      <w:r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Pr="009B275A">
        <w:rPr>
          <w:sz w:val="24"/>
          <w:szCs w:val="24"/>
          <w:lang w:eastAsia="ar-SA"/>
        </w:rPr>
        <w:t xml:space="preserve">.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Pr="009B275A">
        <w:rPr>
          <w:sz w:val="24"/>
          <w:szCs w:val="24"/>
          <w:lang w:eastAsia="ar-SA"/>
        </w:rPr>
        <w:t>.</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Pr="009B275A">
        <w:rPr>
          <w:sz w:val="24"/>
          <w:szCs w:val="24"/>
          <w:lang w:eastAsia="ar-SA"/>
        </w:rPr>
        <w:t>.</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28.27</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rPr>
        <w:t xml:space="preserve">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их принятие по удалению или уточнению </w:t>
      </w:r>
      <w:proofErr w:type="gramStart"/>
      <w:r w:rsidR="00BE3BAC" w:rsidRPr="00D16151">
        <w:rPr>
          <w:sz w:val="24"/>
          <w:szCs w:val="24"/>
          <w:lang w:eastAsia="ru-RU"/>
        </w:rPr>
        <w:t>неполных</w:t>
      </w:r>
      <w:proofErr w:type="gramEnd"/>
      <w:r w:rsidR="00BE3BAC" w:rsidRPr="00D16151">
        <w:rPr>
          <w:sz w:val="24"/>
          <w:szCs w:val="24"/>
          <w:lang w:eastAsia="ru-RU"/>
        </w:rPr>
        <w:t xml:space="preserve">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00BE3BAC" w:rsidRPr="00D16151">
        <w:rPr>
          <w:sz w:val="24"/>
          <w:szCs w:val="24"/>
          <w:lang w:eastAsia="ru-RU"/>
        </w:rPr>
        <w:t>поручителем</w:t>
      </w:r>
      <w:proofErr w:type="gramEnd"/>
      <w:r w:rsidR="00BE3BAC"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w:t>
      </w:r>
      <w:r w:rsidR="001D4BC3">
        <w:rPr>
          <w:sz w:val="24"/>
          <w:szCs w:val="24"/>
          <w:lang w:eastAsia="ru-RU"/>
        </w:rPr>
        <w:t xml:space="preserve"> </w:t>
      </w:r>
      <w:r w:rsidR="00BE3BAC" w:rsidRPr="00D16151">
        <w:rPr>
          <w:sz w:val="24"/>
          <w:szCs w:val="24"/>
          <w:lang w:eastAsia="ru-RU"/>
        </w:rP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w:t>
      </w:r>
      <w:r w:rsidR="00BE3BAC" w:rsidRPr="00D16151">
        <w:rPr>
          <w:sz w:val="24"/>
          <w:szCs w:val="24"/>
          <w:lang w:eastAsia="ru-RU"/>
        </w:rPr>
        <w:lastRenderedPageBreak/>
        <w:t xml:space="preserve">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Pr>
          <w:sz w:val="24"/>
          <w:szCs w:val="24"/>
        </w:rPr>
        <w:t xml:space="preserve"> </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1D4BC3">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lastRenderedPageBreak/>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2C07FF">
        <w:trPr>
          <w:gridAfter w:val="1"/>
          <w:wAfter w:w="6" w:type="dxa"/>
          <w:trHeight w:val="1368"/>
        </w:trPr>
        <w:tc>
          <w:tcPr>
            <w:tcW w:w="2363" w:type="dxa"/>
            <w:gridSpan w:val="2"/>
            <w:shd w:val="clear" w:color="auto" w:fill="auto"/>
          </w:tcPr>
          <w:p w:rsidR="00403777" w:rsidRPr="00DA725E" w:rsidRDefault="00403777" w:rsidP="00EA4FF3">
            <w:pPr>
              <w:pStyle w:val="affff5"/>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EA4FF3">
            <w:pPr>
              <w:pStyle w:val="affff5"/>
              <w:ind w:firstLine="0"/>
              <w:rPr>
                <w:sz w:val="24"/>
                <w:szCs w:val="24"/>
              </w:rPr>
            </w:pP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DA725E" w:rsidRDefault="00403777" w:rsidP="00403777">
            <w:pPr>
              <w:pStyle w:val="affff5"/>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5F3045" w:rsidRPr="00FE0A06"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19300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FE0A06">
        <w:rPr>
          <w:b w:val="0"/>
          <w:bCs w:val="0"/>
          <w:iCs w:val="0"/>
          <w:sz w:val="24"/>
          <w:szCs w:val="24"/>
          <w:lang w:eastAsia="ar-SA"/>
        </w:rPr>
        <w:t>к административно</w:t>
      </w:r>
      <w:r w:rsidR="00193009">
        <w:rPr>
          <w:b w:val="0"/>
          <w:bCs w:val="0"/>
          <w:iCs w:val="0"/>
          <w:sz w:val="24"/>
          <w:szCs w:val="24"/>
          <w:lang w:eastAsia="ar-SA"/>
        </w:rPr>
        <w:t>му регламенту</w:t>
      </w:r>
      <w:r w:rsidRPr="00FE0A06">
        <w:rPr>
          <w:b w:val="0"/>
          <w:bCs w:val="0"/>
          <w:iCs w:val="0"/>
          <w:sz w:val="24"/>
          <w:szCs w:val="24"/>
          <w:lang w:eastAsia="ar-SA"/>
        </w:rPr>
        <w:t xml:space="preserve"> предоставления Муниципальной</w:t>
      </w:r>
      <w:r>
        <w:rPr>
          <w:b w:val="0"/>
          <w:bCs w:val="0"/>
          <w:iCs w:val="0"/>
          <w:sz w:val="24"/>
          <w:szCs w:val="24"/>
          <w:lang w:eastAsia="ar-SA"/>
        </w:rPr>
        <w:t xml:space="preserve"> услуги</w:t>
      </w:r>
      <w:bookmarkEnd w:id="408"/>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193009">
        <w:t xml:space="preserve">Уполномоченного органа </w:t>
      </w:r>
      <w:r w:rsidRPr="00EA4FF3">
        <w:t xml:space="preserve">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19300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2236"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Pr>
          <w:rFonts w:ascii="Times New Roman" w:eastAsia="Times New Roman" w:hAnsi="Times New Roman"/>
          <w:bCs/>
          <w:iCs/>
          <w:sz w:val="24"/>
          <w:szCs w:val="24"/>
          <w:lang w:eastAsia="ru-RU"/>
        </w:rPr>
        <w:t xml:space="preserve">1. </w:t>
      </w:r>
      <w:r w:rsidRPr="003764F4">
        <w:rPr>
          <w:rFonts w:ascii="Times New Roman" w:hAnsi="Times New Roman"/>
          <w:sz w:val="24"/>
          <w:szCs w:val="24"/>
        </w:rPr>
        <w:t>Уполномоченный орган: Комитет</w:t>
      </w:r>
      <w:r w:rsidRPr="00C42236">
        <w:rPr>
          <w:rFonts w:ascii="Times New Roman" w:hAnsi="Times New Roman"/>
          <w:sz w:val="24"/>
          <w:szCs w:val="24"/>
        </w:rPr>
        <w:t xml:space="preserve"> имущественных отношений Администрации городского округа Электросталь Московской области</w:t>
      </w:r>
      <w:r>
        <w:rPr>
          <w:rFonts w:ascii="Times New Roman" w:hAnsi="Times New Roman"/>
          <w:sz w:val="24"/>
          <w:szCs w:val="24"/>
        </w:rPr>
        <w:t>.</w:t>
      </w:r>
      <w:r w:rsidRPr="00C42236">
        <w:rPr>
          <w:rFonts w:ascii="Times New Roman" w:hAnsi="Times New Roman"/>
          <w:sz w:val="24"/>
          <w:szCs w:val="24"/>
        </w:rPr>
        <w:t xml:space="preserve"> </w:t>
      </w:r>
    </w:p>
    <w:p w:rsidR="00193009" w:rsidRPr="00C42236"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2236">
        <w:rPr>
          <w:rFonts w:ascii="Times New Roman" w:hAnsi="Times New Roman"/>
          <w:sz w:val="24"/>
          <w:szCs w:val="24"/>
        </w:rPr>
        <w:t xml:space="preserve">                                                                         </w:t>
      </w:r>
    </w:p>
    <w:p w:rsidR="00193009" w:rsidRPr="00193009" w:rsidRDefault="00193009" w:rsidP="00193009">
      <w:pPr>
        <w:autoSpaceDE w:val="0"/>
        <w:autoSpaceDN w:val="0"/>
        <w:adjustRightInd w:val="0"/>
        <w:ind w:right="-2" w:firstLine="540"/>
        <w:contextualSpacing/>
        <w:jc w:val="both"/>
        <w:rPr>
          <w:rFonts w:ascii="Times New Roman" w:hAnsi="Times New Roman"/>
        </w:rPr>
      </w:pPr>
      <w:r>
        <w:tab/>
      </w:r>
      <w:r w:rsidRPr="00193009">
        <w:rPr>
          <w:rFonts w:ascii="Times New Roman" w:hAnsi="Times New Roman"/>
        </w:rPr>
        <w:t>График работы:</w:t>
      </w:r>
    </w:p>
    <w:tbl>
      <w:tblPr>
        <w:tblW w:w="4729" w:type="pct"/>
        <w:jc w:val="center"/>
        <w:tblLook w:val="01E0" w:firstRow="1" w:lastRow="1" w:firstColumn="1" w:lastColumn="1" w:noHBand="0" w:noVBand="0"/>
      </w:tblPr>
      <w:tblGrid>
        <w:gridCol w:w="2570"/>
        <w:gridCol w:w="7286"/>
      </w:tblGrid>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color w:val="000000"/>
                <w:lang w:val="en-US"/>
              </w:rPr>
            </w:pPr>
            <w:r w:rsidRPr="00193009">
              <w:rPr>
                <w:rFonts w:ascii="Times New Roman" w:hAnsi="Times New Roman"/>
                <w:noProof/>
                <w:color w:val="000000"/>
                <w:lang w:val="en-US"/>
              </w:rPr>
              <w:t>Понедельник:</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с 8-45 до 18-00, обеденный перерыв с 13-00 до 14-00</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color w:val="000000"/>
                <w:lang w:val="en-US"/>
              </w:rPr>
            </w:pPr>
            <w:r w:rsidRPr="00193009">
              <w:rPr>
                <w:rFonts w:ascii="Times New Roman" w:hAnsi="Times New Roman"/>
                <w:noProof/>
                <w:color w:val="000000"/>
              </w:rPr>
              <w:t>Вторник</w:t>
            </w:r>
            <w:r w:rsidRPr="00193009">
              <w:rPr>
                <w:rFonts w:ascii="Times New Roman" w:hAnsi="Times New Roman"/>
                <w:noProof/>
                <w:color w:val="000000"/>
                <w:lang w:val="en-US"/>
              </w:rPr>
              <w:t>:</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с 8-45 до 18-00, обеденный перерыв с 13-00 до 14-00</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noProof/>
                <w:color w:val="000000"/>
              </w:rPr>
            </w:pPr>
            <w:r w:rsidRPr="00193009">
              <w:rPr>
                <w:rFonts w:ascii="Times New Roman" w:hAnsi="Times New Roman"/>
                <w:noProof/>
                <w:color w:val="000000"/>
                <w:lang w:val="en-US"/>
              </w:rPr>
              <w:t>С</w:t>
            </w:r>
            <w:r w:rsidRPr="00193009">
              <w:rPr>
                <w:rFonts w:ascii="Times New Roman" w:hAnsi="Times New Roman"/>
                <w:noProof/>
                <w:color w:val="000000"/>
              </w:rPr>
              <w:t>реда</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с 8-45 до 18-00, обеденный перерыв с 13-00 до 14-00</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color w:val="000000"/>
                <w:lang w:val="en-US"/>
              </w:rPr>
            </w:pPr>
            <w:r w:rsidRPr="00193009">
              <w:rPr>
                <w:rFonts w:ascii="Times New Roman" w:hAnsi="Times New Roman"/>
                <w:noProof/>
                <w:color w:val="000000"/>
              </w:rPr>
              <w:t>Четверг</w:t>
            </w:r>
            <w:r w:rsidRPr="00193009">
              <w:rPr>
                <w:rFonts w:ascii="Times New Roman" w:hAnsi="Times New Roman"/>
                <w:noProof/>
                <w:color w:val="000000"/>
                <w:lang w:val="en-US"/>
              </w:rPr>
              <w:t>:</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с 8-45 до 18-00, обеденный перерыв с 13-00 до 14-00</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noProof/>
                <w:color w:val="000000"/>
                <w:lang w:val="en-US"/>
              </w:rPr>
            </w:pPr>
            <w:r w:rsidRPr="00193009">
              <w:rPr>
                <w:rFonts w:ascii="Times New Roman" w:hAnsi="Times New Roman"/>
                <w:noProof/>
                <w:color w:val="000000"/>
                <w:lang w:val="en-US"/>
              </w:rPr>
              <w:t>Пятница:</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с 8-45 до 16-45, обеденный перерыв с 13-00 до 14-00</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noProof/>
                <w:color w:val="000000"/>
                <w:lang w:val="en-US"/>
              </w:rPr>
            </w:pPr>
            <w:r w:rsidRPr="00193009">
              <w:rPr>
                <w:rFonts w:ascii="Times New Roman" w:hAnsi="Times New Roman"/>
                <w:noProof/>
                <w:color w:val="000000"/>
                <w:lang w:val="en-US"/>
              </w:rPr>
              <w:t>Суббота</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color w:val="000000"/>
              </w:rPr>
            </w:pPr>
            <w:r w:rsidRPr="00193009">
              <w:rPr>
                <w:rFonts w:ascii="Times New Roman" w:hAnsi="Times New Roman"/>
                <w:color w:val="000000"/>
              </w:rPr>
              <w:t>выходной день</w:t>
            </w:r>
          </w:p>
        </w:tc>
      </w:tr>
      <w:tr w:rsidR="00193009" w:rsidRPr="00193009" w:rsidTr="006F0AEF">
        <w:trPr>
          <w:jc w:val="center"/>
        </w:trPr>
        <w:tc>
          <w:tcPr>
            <w:tcW w:w="1304" w:type="pct"/>
            <w:shd w:val="clear" w:color="auto" w:fill="auto"/>
          </w:tcPr>
          <w:p w:rsidR="00193009" w:rsidRPr="00193009" w:rsidRDefault="00193009" w:rsidP="006F0AEF">
            <w:pPr>
              <w:tabs>
                <w:tab w:val="left" w:pos="1276"/>
              </w:tabs>
              <w:ind w:right="-2"/>
              <w:contextualSpacing/>
              <w:rPr>
                <w:rFonts w:ascii="Times New Roman" w:hAnsi="Times New Roman"/>
                <w:noProof/>
                <w:color w:val="000000"/>
                <w:lang w:val="en-US"/>
              </w:rPr>
            </w:pPr>
            <w:r w:rsidRPr="00193009">
              <w:rPr>
                <w:rFonts w:ascii="Times New Roman" w:hAnsi="Times New Roman"/>
                <w:noProof/>
                <w:color w:val="000000"/>
                <w:lang w:val="en-US"/>
              </w:rPr>
              <w:t>Воскресенье:</w:t>
            </w:r>
          </w:p>
        </w:tc>
        <w:tc>
          <w:tcPr>
            <w:tcW w:w="3696" w:type="pct"/>
            <w:shd w:val="clear" w:color="auto" w:fill="auto"/>
            <w:vAlign w:val="center"/>
          </w:tcPr>
          <w:p w:rsidR="00193009" w:rsidRPr="00193009" w:rsidRDefault="00193009" w:rsidP="006F0AEF">
            <w:pPr>
              <w:tabs>
                <w:tab w:val="left" w:pos="1276"/>
              </w:tabs>
              <w:ind w:right="-2"/>
              <w:contextualSpacing/>
              <w:jc w:val="center"/>
              <w:rPr>
                <w:rFonts w:ascii="Times New Roman" w:hAnsi="Times New Roman"/>
                <w:noProof/>
                <w:color w:val="000000"/>
              </w:rPr>
            </w:pPr>
            <w:r w:rsidRPr="00193009">
              <w:rPr>
                <w:rFonts w:ascii="Times New Roman" w:hAnsi="Times New Roman"/>
                <w:noProof/>
                <w:color w:val="000000"/>
                <w:lang w:val="en-US"/>
              </w:rPr>
              <w:t>выходной день</w:t>
            </w:r>
          </w:p>
        </w:tc>
      </w:tr>
    </w:tbl>
    <w:p w:rsidR="00193009" w:rsidRDefault="00193009" w:rsidP="00EA4FF3">
      <w:pPr>
        <w:spacing w:after="0"/>
        <w:jc w:val="both"/>
        <w:rPr>
          <w:rFonts w:ascii="Times New Roman" w:hAnsi="Times New Roman"/>
          <w:b/>
          <w:sz w:val="24"/>
          <w:szCs w:val="24"/>
        </w:rPr>
      </w:pPr>
    </w:p>
    <w:p w:rsidR="00193009" w:rsidRPr="00193009" w:rsidRDefault="00193009" w:rsidP="00193009">
      <w:pPr>
        <w:autoSpaceDE w:val="0"/>
        <w:autoSpaceDN w:val="0"/>
        <w:adjustRightInd w:val="0"/>
        <w:ind w:right="-2" w:firstLine="567"/>
        <w:contextualSpacing/>
        <w:jc w:val="both"/>
        <w:rPr>
          <w:rFonts w:ascii="Times New Roman" w:hAnsi="Times New Roman"/>
          <w:i/>
        </w:rPr>
      </w:pPr>
      <w:r w:rsidRPr="00193009">
        <w:rPr>
          <w:rFonts w:ascii="Times New Roman" w:hAnsi="Times New Roman"/>
        </w:rPr>
        <w:t>Почтовый адрес: 144003, Московская область, г. Электросталь, ул. Мира д. 5.</w:t>
      </w:r>
    </w:p>
    <w:p w:rsidR="00193009" w:rsidRPr="00193009" w:rsidRDefault="00193009" w:rsidP="00193009">
      <w:pPr>
        <w:autoSpaceDE w:val="0"/>
        <w:autoSpaceDN w:val="0"/>
        <w:adjustRightInd w:val="0"/>
        <w:ind w:right="-2" w:firstLine="567"/>
        <w:contextualSpacing/>
        <w:jc w:val="both"/>
        <w:rPr>
          <w:rFonts w:ascii="Times New Roman" w:hAnsi="Times New Roman"/>
        </w:rPr>
      </w:pPr>
      <w:r w:rsidRPr="00193009">
        <w:rPr>
          <w:rFonts w:ascii="Times New Roman" w:hAnsi="Times New Roman"/>
        </w:rPr>
        <w:t>Контактный телефон: 8-49657 (1-98-90, 1-98-93).</w:t>
      </w:r>
    </w:p>
    <w:p w:rsidR="00193009" w:rsidRPr="00193009" w:rsidRDefault="00193009" w:rsidP="00193009">
      <w:pPr>
        <w:autoSpaceDE w:val="0"/>
        <w:autoSpaceDN w:val="0"/>
        <w:adjustRightInd w:val="0"/>
        <w:ind w:right="-2" w:firstLine="567"/>
        <w:contextualSpacing/>
        <w:jc w:val="both"/>
        <w:rPr>
          <w:rFonts w:ascii="Times New Roman" w:hAnsi="Times New Roman"/>
          <w:i/>
        </w:rPr>
      </w:pPr>
      <w:r w:rsidRPr="00193009">
        <w:rPr>
          <w:rFonts w:ascii="Times New Roman" w:hAnsi="Times New Roman"/>
        </w:rPr>
        <w:t>Официальный сайт в сети Интернет: http://electrostal.ru/.</w:t>
      </w:r>
    </w:p>
    <w:p w:rsidR="00193009" w:rsidRPr="00193009" w:rsidRDefault="00193009" w:rsidP="00193009">
      <w:pPr>
        <w:ind w:right="-2" w:firstLine="567"/>
        <w:contextualSpacing/>
        <w:rPr>
          <w:rFonts w:ascii="Times New Roman" w:hAnsi="Times New Roman"/>
          <w:lang w:eastAsia="ar-SA"/>
        </w:rPr>
      </w:pPr>
      <w:r w:rsidRPr="00193009">
        <w:rPr>
          <w:rFonts w:ascii="Times New Roman" w:hAnsi="Times New Roman"/>
        </w:rPr>
        <w:t xml:space="preserve">Адрес электронной почты в сети Интернет: </w:t>
      </w:r>
      <w:proofErr w:type="spellStart"/>
      <w:r w:rsidRPr="00193009">
        <w:rPr>
          <w:rFonts w:ascii="Times New Roman" w:hAnsi="Times New Roman"/>
          <w:lang w:val="en-US"/>
        </w:rPr>
        <w:t>kio</w:t>
      </w:r>
      <w:proofErr w:type="spellEnd"/>
      <w:r w:rsidRPr="00193009">
        <w:rPr>
          <w:rFonts w:ascii="Times New Roman" w:hAnsi="Times New Roman"/>
        </w:rPr>
        <w:t>_</w:t>
      </w:r>
      <w:proofErr w:type="spellStart"/>
      <w:r w:rsidRPr="00193009">
        <w:rPr>
          <w:rFonts w:ascii="Times New Roman" w:hAnsi="Times New Roman"/>
          <w:lang w:val="en-US"/>
        </w:rPr>
        <w:t>elektrostal</w:t>
      </w:r>
      <w:proofErr w:type="spellEnd"/>
      <w:r w:rsidRPr="00193009">
        <w:rPr>
          <w:rFonts w:ascii="Times New Roman" w:hAnsi="Times New Roman"/>
        </w:rPr>
        <w:t>@</w:t>
      </w:r>
      <w:r w:rsidRPr="00193009">
        <w:rPr>
          <w:rFonts w:ascii="Times New Roman" w:hAnsi="Times New Roman"/>
          <w:lang w:val="en-US"/>
        </w:rPr>
        <w:t>mail</w:t>
      </w:r>
      <w:r w:rsidRPr="00193009">
        <w:rPr>
          <w:rFonts w:ascii="Times New Roman" w:hAnsi="Times New Roman"/>
        </w:rPr>
        <w:t>.</w:t>
      </w:r>
      <w:proofErr w:type="spellStart"/>
      <w:r w:rsidRPr="00193009">
        <w:rPr>
          <w:rFonts w:ascii="Times New Roman" w:hAnsi="Times New Roman"/>
          <w:lang w:val="en-US"/>
        </w:rPr>
        <w:t>ru</w:t>
      </w:r>
      <w:proofErr w:type="spellEnd"/>
      <w:r w:rsidRPr="00193009">
        <w:rPr>
          <w:rFonts w:ascii="Times New Roman" w:hAnsi="Times New Roman"/>
        </w:rPr>
        <w:t>.</w:t>
      </w:r>
    </w:p>
    <w:p w:rsidR="00EA4FF3" w:rsidRPr="00D16151" w:rsidRDefault="00193009" w:rsidP="00EA4FF3">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sidR="00EA4FF3">
        <w:rPr>
          <w:rFonts w:ascii="Times New Roman" w:hAnsi="Times New Roman"/>
          <w:sz w:val="24"/>
          <w:szCs w:val="24"/>
        </w:rPr>
        <w:t>.</w:t>
      </w:r>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457"/>
        <w:gridCol w:w="1939"/>
        <w:gridCol w:w="2861"/>
        <w:gridCol w:w="1790"/>
      </w:tblGrid>
      <w:tr w:rsidR="00193009" w:rsidRPr="00193009" w:rsidTr="006F0AEF">
        <w:trPr>
          <w:trHeight w:val="104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193009" w:rsidRDefault="00193009" w:rsidP="006F0AEF">
            <w:pPr>
              <w:ind w:right="-2"/>
              <w:contextualSpacing/>
              <w:jc w:val="center"/>
              <w:rPr>
                <w:rFonts w:ascii="Times New Roman" w:hAnsi="Times New Roman"/>
              </w:rPr>
            </w:pPr>
            <w:r w:rsidRPr="00193009">
              <w:rPr>
                <w:rFonts w:ascii="Times New Roman" w:hAnsi="Times New Roman"/>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193009" w:rsidRDefault="00193009" w:rsidP="006F0AEF">
            <w:pPr>
              <w:ind w:right="-2"/>
              <w:contextualSpacing/>
              <w:jc w:val="center"/>
              <w:rPr>
                <w:rFonts w:ascii="Times New Roman" w:hAnsi="Times New Roman"/>
                <w:bCs/>
                <w:color w:val="000000"/>
              </w:rPr>
            </w:pPr>
          </w:p>
          <w:p w:rsidR="00193009" w:rsidRPr="00193009" w:rsidRDefault="00193009" w:rsidP="006F0AEF">
            <w:pPr>
              <w:ind w:right="-2"/>
              <w:contextualSpacing/>
              <w:jc w:val="center"/>
              <w:rPr>
                <w:rFonts w:ascii="Times New Roman" w:hAnsi="Times New Roman"/>
              </w:rPr>
            </w:pPr>
            <w:r w:rsidRPr="00193009">
              <w:rPr>
                <w:rFonts w:ascii="Times New Roman" w:hAnsi="Times New Roman"/>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193009" w:rsidRDefault="00193009" w:rsidP="006F0AEF">
            <w:pPr>
              <w:ind w:right="-2"/>
              <w:contextualSpacing/>
              <w:jc w:val="center"/>
              <w:rPr>
                <w:rFonts w:ascii="Times New Roman" w:hAnsi="Times New Roman"/>
                <w:color w:val="000000" w:themeColor="text1"/>
              </w:rPr>
            </w:pPr>
            <w:r w:rsidRPr="00193009">
              <w:rPr>
                <w:rFonts w:ascii="Times New Roman" w:hAnsi="Times New Roman"/>
                <w:bCs/>
                <w:color w:val="000000" w:themeColor="text1"/>
              </w:rPr>
              <w:t>Адрес электронной почты</w:t>
            </w:r>
          </w:p>
          <w:p w:rsidR="00193009" w:rsidRPr="00193009" w:rsidRDefault="00193009" w:rsidP="006F0AEF">
            <w:pPr>
              <w:ind w:right="-2"/>
              <w:contextualSpacing/>
              <w:jc w:val="center"/>
              <w:rPr>
                <w:rFonts w:ascii="Times New Roman" w:hAnsi="Times New Roman"/>
                <w:color w:val="000000" w:themeColor="text1"/>
              </w:rPr>
            </w:pPr>
            <w:r w:rsidRPr="00193009">
              <w:rPr>
                <w:rFonts w:ascii="Times New Roman" w:hAnsi="Times New Roman"/>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193009" w:rsidRDefault="00193009" w:rsidP="006F0AEF">
            <w:pPr>
              <w:ind w:right="-2"/>
              <w:contextualSpacing/>
              <w:jc w:val="center"/>
              <w:rPr>
                <w:rFonts w:ascii="Times New Roman" w:hAnsi="Times New Roman"/>
              </w:rPr>
            </w:pPr>
            <w:r w:rsidRPr="00193009">
              <w:rPr>
                <w:rFonts w:ascii="Times New Roman" w:hAnsi="Times New Roman"/>
                <w:bCs/>
                <w:color w:val="000000"/>
              </w:rPr>
              <w:t>График работы</w:t>
            </w:r>
          </w:p>
        </w:tc>
      </w:tr>
      <w:tr w:rsidR="00193009" w:rsidRPr="0019300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color w:val="000000"/>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color w:val="000000"/>
              </w:rPr>
              <w:t>8(496)576-66-55</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193009" w:rsidRDefault="00193009" w:rsidP="006F0AEF">
            <w:pPr>
              <w:ind w:right="-2"/>
              <w:contextualSpacing/>
              <w:jc w:val="center"/>
              <w:rPr>
                <w:rFonts w:ascii="Times New Roman" w:hAnsi="Times New Roman"/>
                <w:color w:val="000000" w:themeColor="text1"/>
              </w:rPr>
            </w:pPr>
            <w:r w:rsidRPr="00193009">
              <w:rPr>
                <w:rFonts w:ascii="Times New Roman" w:hAnsi="Times New Roman"/>
                <w:color w:val="000000" w:themeColor="text1"/>
              </w:rPr>
              <w:t>mfc-elektrostalgo@mosreg.ru</w:t>
            </w:r>
          </w:p>
          <w:p w:rsidR="00193009" w:rsidRPr="00193009" w:rsidRDefault="00193009" w:rsidP="006F0AEF">
            <w:pPr>
              <w:ind w:right="-2"/>
              <w:contextualSpacing/>
              <w:jc w:val="center"/>
              <w:rPr>
                <w:rFonts w:ascii="Times New Roman" w:hAnsi="Times New Roman"/>
              </w:rPr>
            </w:pPr>
          </w:p>
          <w:p w:rsidR="00193009" w:rsidRPr="00193009" w:rsidRDefault="00193009" w:rsidP="006F0AEF">
            <w:pPr>
              <w:ind w:right="-2"/>
              <w:contextualSpacing/>
              <w:jc w:val="center"/>
              <w:rPr>
                <w:rFonts w:ascii="Times New Roman" w:hAnsi="Times New Roman"/>
                <w:color w:val="000000" w:themeColor="text1"/>
              </w:rPr>
            </w:pPr>
            <w:r w:rsidRPr="00193009">
              <w:rPr>
                <w:rFonts w:ascii="Times New Roman" w:hAnsi="Times New Roman"/>
                <w:lang w:val="en-US"/>
              </w:rPr>
              <w:t>http</w:t>
            </w:r>
            <w:r w:rsidRPr="00193009">
              <w:rPr>
                <w:rFonts w:ascii="Times New Roman" w:hAnsi="Times New Roman"/>
              </w:rPr>
              <w:t>://</w:t>
            </w:r>
            <w:proofErr w:type="spellStart"/>
            <w:r w:rsidRPr="00193009">
              <w:rPr>
                <w:rFonts w:ascii="Times New Roman" w:hAnsi="Times New Roman"/>
                <w:lang w:val="en-US"/>
              </w:rPr>
              <w:t>mfc</w:t>
            </w:r>
            <w:proofErr w:type="spellEnd"/>
            <w:r w:rsidRPr="00193009">
              <w:rPr>
                <w:rFonts w:ascii="Times New Roman" w:hAnsi="Times New Roman"/>
              </w:rPr>
              <w:t>.</w:t>
            </w:r>
            <w:proofErr w:type="spellStart"/>
            <w:r w:rsidRPr="00193009">
              <w:rPr>
                <w:rFonts w:ascii="Times New Roman" w:hAnsi="Times New Roman"/>
                <w:lang w:val="en-US"/>
              </w:rPr>
              <w:t>mosreg</w:t>
            </w:r>
            <w:proofErr w:type="spellEnd"/>
            <w:r w:rsidRPr="00193009">
              <w:rPr>
                <w:rFonts w:ascii="Times New Roman" w:hAnsi="Times New Roman"/>
              </w:rPr>
              <w:t>.</w:t>
            </w:r>
            <w:proofErr w:type="spellStart"/>
            <w:r w:rsidRPr="00193009">
              <w:rPr>
                <w:rFonts w:ascii="Times New Roman" w:hAnsi="Times New Roman"/>
                <w:lang w:val="en-US"/>
              </w:rPr>
              <w:t>ru</w:t>
            </w:r>
            <w:proofErr w:type="spellEnd"/>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193009" w:rsidRDefault="00193009" w:rsidP="006F0AEF">
            <w:pPr>
              <w:ind w:right="-2"/>
              <w:contextualSpacing/>
              <w:jc w:val="center"/>
              <w:rPr>
                <w:rFonts w:ascii="Times New Roman" w:hAnsi="Times New Roman"/>
              </w:rPr>
            </w:pPr>
            <w:r w:rsidRPr="00193009">
              <w:rPr>
                <w:rFonts w:ascii="Times New Roman" w:hAnsi="Times New Roman"/>
              </w:rPr>
              <w:t>Ежедневно</w:t>
            </w:r>
          </w:p>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color w:val="000000"/>
              </w:rPr>
              <w:t>с 8:00-20:00</w:t>
            </w:r>
          </w:p>
          <w:p w:rsidR="00193009" w:rsidRPr="00193009" w:rsidRDefault="00193009" w:rsidP="006F0AEF">
            <w:pPr>
              <w:ind w:right="-2"/>
              <w:contextualSpacing/>
              <w:jc w:val="center"/>
              <w:rPr>
                <w:rFonts w:ascii="Times New Roman" w:hAnsi="Times New Roman"/>
                <w:color w:val="000000"/>
              </w:rPr>
            </w:pPr>
          </w:p>
        </w:tc>
      </w:tr>
      <w:tr w:rsidR="00193009" w:rsidRPr="0019300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color w:val="000000"/>
              </w:rPr>
              <w:t>Московская область,</w:t>
            </w:r>
          </w:p>
          <w:p w:rsidR="00193009" w:rsidRPr="00193009" w:rsidRDefault="00193009" w:rsidP="006F0AEF">
            <w:pPr>
              <w:ind w:right="-2"/>
              <w:contextualSpacing/>
              <w:jc w:val="center"/>
              <w:rPr>
                <w:rFonts w:ascii="Times New Roman" w:hAnsi="Times New Roman"/>
                <w:color w:val="000000"/>
              </w:rPr>
            </w:pPr>
            <w:proofErr w:type="spellStart"/>
            <w:r w:rsidRPr="00193009">
              <w:rPr>
                <w:rFonts w:ascii="Times New Roman" w:hAnsi="Times New Roman"/>
                <w:color w:val="000000"/>
              </w:rPr>
              <w:t>г.Электросталь</w:t>
            </w:r>
            <w:proofErr w:type="spellEnd"/>
            <w:r w:rsidRPr="00193009">
              <w:rPr>
                <w:rFonts w:ascii="Times New Roman" w:hAnsi="Times New Roman"/>
                <w:color w:val="000000"/>
              </w:rPr>
              <w:t>,</w:t>
            </w:r>
          </w:p>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193009" w:rsidRPr="00193009" w:rsidRDefault="00193009" w:rsidP="006F0AEF">
            <w:pPr>
              <w:ind w:right="-2"/>
              <w:contextualSpacing/>
              <w:jc w:val="center"/>
              <w:rPr>
                <w:rFonts w:ascii="Times New Roman" w:hAnsi="Times New Roman"/>
                <w:color w:val="000000"/>
              </w:rPr>
            </w:pPr>
            <w:r w:rsidRPr="00193009">
              <w:rPr>
                <w:rFonts w:ascii="Times New Roman" w:hAnsi="Times New Roman"/>
              </w:rPr>
              <w:t>8(496)570-33-63</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193009" w:rsidRPr="00193009" w:rsidRDefault="00193009" w:rsidP="006F0AEF">
            <w:pPr>
              <w:ind w:right="-2"/>
              <w:contextualSpacing/>
              <w:jc w:val="center"/>
              <w:rPr>
                <w:rFonts w:ascii="Times New Roman" w:hAnsi="Times New Roman"/>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193009" w:rsidRPr="00193009" w:rsidRDefault="00193009" w:rsidP="006F0AEF">
            <w:pPr>
              <w:ind w:right="-2"/>
              <w:contextualSpacing/>
              <w:jc w:val="center"/>
              <w:rPr>
                <w:rFonts w:ascii="Times New Roman" w:hAnsi="Times New Roman"/>
                <w:color w:val="000000"/>
              </w:rPr>
            </w:pPr>
          </w:p>
        </w:tc>
      </w:tr>
    </w:tbl>
    <w:p w:rsidR="00193009" w:rsidRPr="00193009" w:rsidRDefault="00193009" w:rsidP="007E1DC2">
      <w:pPr>
        <w:spacing w:after="0"/>
        <w:ind w:firstLine="284"/>
        <w:rPr>
          <w:rFonts w:ascii="Times New Roman" w:hAnsi="Times New Roman"/>
          <w:sz w:val="24"/>
          <w:szCs w:val="24"/>
        </w:rPr>
      </w:pPr>
    </w:p>
    <w:p w:rsidR="00193009" w:rsidRPr="00193009" w:rsidRDefault="00193009" w:rsidP="007E1DC2">
      <w:pPr>
        <w:spacing w:after="0"/>
        <w:ind w:firstLine="284"/>
        <w:rPr>
          <w:rFonts w:ascii="Times New Roman" w:hAnsi="Times New Roman"/>
          <w:sz w:val="24"/>
          <w:szCs w:val="24"/>
        </w:rPr>
      </w:pP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A806D3" w:rsidRPr="00612CA0" w:rsidRDefault="007E1DC2" w:rsidP="00193009">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A806D3" w:rsidRPr="00612CA0">
        <w:t xml:space="preserve"> </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527FD9">
        <w:rPr>
          <w:sz w:val="24"/>
          <w:szCs w:val="24"/>
        </w:rPr>
        <w:t>–</w:t>
      </w:r>
      <w:r w:rsidRPr="00612CA0">
        <w:rPr>
          <w:sz w:val="24"/>
          <w:szCs w:val="24"/>
        </w:rPr>
        <w:t xml:space="preserve"> </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w:t>
      </w:r>
      <w:proofErr w:type="gramStart"/>
      <w:r w:rsidR="00527FD9">
        <w:rPr>
          <w:sz w:val="24"/>
          <w:szCs w:val="24"/>
        </w:rPr>
        <w:t xml:space="preserve">) </w:t>
      </w:r>
      <w:r w:rsidRPr="007C7F40">
        <w:rPr>
          <w:sz w:val="24"/>
          <w:szCs w:val="24"/>
        </w:rPr>
        <w:t>;</w:t>
      </w:r>
      <w:proofErr w:type="gramEnd"/>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pgSz w:w="11906" w:h="16838" w:code="9"/>
          <w:pgMar w:top="1440" w:right="567" w:bottom="1276"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9"/>
      <w:r w:rsidRPr="00612CA0">
        <w:rPr>
          <w:b w:val="0"/>
          <w:bCs w:val="0"/>
          <w:iCs w:val="0"/>
          <w:sz w:val="24"/>
          <w:szCs w:val="24"/>
          <w:lang w:eastAsia="ar-SA"/>
        </w:rPr>
        <w:t xml:space="preserve"> </w:t>
      </w:r>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w:t>
            </w:r>
            <w:proofErr w:type="gramStart"/>
            <w:r w:rsidR="0007373A">
              <w:rPr>
                <w:rFonts w:ascii="Times New Roman" w:hAnsi="Times New Roman"/>
                <w:b/>
                <w:bCs/>
                <w:color w:val="000000"/>
                <w:sz w:val="24"/>
                <w:szCs w:val="24"/>
              </w:rPr>
              <w:t>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proofErr w:type="gramEnd"/>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w:t>
            </w:r>
            <w:proofErr w:type="gramStart"/>
            <w:r w:rsidR="001F0A24" w:rsidRPr="003C68B8">
              <w:rPr>
                <w:rFonts w:ascii="Times New Roman" w:hAnsi="Times New Roman"/>
                <w:b/>
                <w:bCs/>
                <w:color w:val="000000"/>
                <w:sz w:val="24"/>
                <w:szCs w:val="24"/>
              </w:rPr>
              <w:t>_._</w:t>
            </w:r>
            <w:proofErr w:type="gramEnd"/>
            <w:r w:rsidR="001F0A24" w:rsidRPr="003C68B8">
              <w:rPr>
                <w:rFonts w:ascii="Times New Roman" w:hAnsi="Times New Roman"/>
                <w:b/>
                <w:bCs/>
                <w:color w:val="000000"/>
                <w:sz w:val="24"/>
                <w:szCs w:val="24"/>
              </w:rPr>
              <w:t>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протяжен-</w:t>
            </w:r>
            <w:proofErr w:type="spellStart"/>
            <w:r w:rsidRPr="00C5005A">
              <w:rPr>
                <w:rFonts w:ascii="Times New Roman" w:hAnsi="Times New Roman"/>
                <w:b/>
                <w:bCs/>
                <w:color w:val="000000"/>
                <w:sz w:val="20"/>
                <w:szCs w:val="20"/>
              </w:rPr>
              <w:t>ность</w:t>
            </w:r>
            <w:proofErr w:type="spellEnd"/>
            <w:proofErr w:type="gramEnd"/>
            <w:r w:rsidRPr="00C5005A">
              <w:rPr>
                <w:rFonts w:ascii="Times New Roman" w:hAnsi="Times New Roman"/>
                <w:b/>
                <w:bCs/>
                <w:color w:val="000000"/>
                <w:sz w:val="20"/>
                <w:szCs w:val="20"/>
              </w:rPr>
              <w:t xml:space="preserve">,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spellStart"/>
            <w:proofErr w:type="gramStart"/>
            <w:r w:rsidRPr="00C5005A">
              <w:rPr>
                <w:rFonts w:ascii="Times New Roman" w:hAnsi="Times New Roman"/>
                <w:b/>
                <w:bCs/>
                <w:color w:val="000000"/>
                <w:sz w:val="20"/>
                <w:szCs w:val="20"/>
              </w:rPr>
              <w:t>Кадастро</w:t>
            </w:r>
            <w:proofErr w:type="spellEnd"/>
            <w:r w:rsidRPr="00C5005A">
              <w:rPr>
                <w:rFonts w:ascii="Times New Roman" w:hAnsi="Times New Roman"/>
                <w:b/>
                <w:bCs/>
                <w:color w:val="000000"/>
                <w:sz w:val="20"/>
                <w:szCs w:val="20"/>
              </w:rPr>
              <w:t>-вый</w:t>
            </w:r>
            <w:proofErr w:type="gramEnd"/>
            <w:r w:rsidRPr="00C5005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proofErr w:type="gramStart"/>
            <w:r w:rsidRPr="00C5005A">
              <w:rPr>
                <w:rFonts w:ascii="Times New Roman" w:hAnsi="Times New Roman"/>
                <w:b/>
                <w:bCs/>
                <w:color w:val="000000"/>
                <w:sz w:val="20"/>
                <w:szCs w:val="20"/>
              </w:rPr>
              <w:t>использова-ние</w:t>
            </w:r>
            <w:proofErr w:type="spellEnd"/>
            <w:proofErr w:type="gramEnd"/>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1D4BC3" w:rsidRDefault="001F0A24" w:rsidP="001F0A24">
      <w:pPr>
        <w:spacing w:after="0" w:line="240" w:lineRule="auto"/>
        <w:rPr>
          <w:rFonts w:ascii="Times New Roman" w:hAnsi="Times New Roman"/>
          <w:vanish/>
          <w:sz w:val="8"/>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 xml:space="preserve">к </w:t>
      </w:r>
      <w:proofErr w:type="gramStart"/>
      <w:r w:rsidRPr="00612CA0">
        <w:rPr>
          <w:b w:val="0"/>
          <w:bCs w:val="0"/>
          <w:iCs w:val="0"/>
          <w:sz w:val="24"/>
          <w:szCs w:val="24"/>
          <w:lang w:eastAsia="ar-SA"/>
        </w:rPr>
        <w:t>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proofErr w:type="gramEnd"/>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5C78F2" w:rsidP="005C78F2">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w:t>
      </w:r>
      <w:proofErr w:type="gramStart"/>
      <w:r>
        <w:rPr>
          <w:rFonts w:ascii="Times New Roman" w:hAnsi="Times New Roman"/>
          <w:b/>
          <w:bCs/>
          <w:color w:val="000000"/>
          <w:sz w:val="24"/>
          <w:szCs w:val="24"/>
        </w:rPr>
        <w:t>_</w:t>
      </w:r>
      <w:r>
        <w:rPr>
          <w:rFonts w:ascii="Times New Roman" w:hAnsi="Times New Roman"/>
          <w:b/>
          <w:bCs/>
          <w:color w:val="000000"/>
          <w:sz w:val="24"/>
          <w:szCs w:val="24"/>
        </w:rPr>
        <w:br/>
      </w:r>
      <w:r>
        <w:rPr>
          <w:rFonts w:ascii="Times New Roman" w:hAnsi="Times New Roman"/>
          <w:bCs/>
          <w:i/>
          <w:color w:val="000000"/>
          <w:sz w:val="24"/>
          <w:szCs w:val="24"/>
        </w:rPr>
        <w:t>(</w:t>
      </w:r>
      <w:proofErr w:type="gramEnd"/>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По состоянию на _</w:t>
      </w:r>
      <w:proofErr w:type="gramStart"/>
      <w:r>
        <w:rPr>
          <w:rFonts w:ascii="Times New Roman" w:hAnsi="Times New Roman"/>
          <w:sz w:val="24"/>
          <w:szCs w:val="24"/>
        </w:rPr>
        <w:t>_._</w:t>
      </w:r>
      <w:proofErr w:type="gramEnd"/>
      <w:r>
        <w:rPr>
          <w:rFonts w:ascii="Times New Roman" w:hAnsi="Times New Roman"/>
          <w:sz w:val="24"/>
          <w:szCs w:val="24"/>
        </w:rPr>
        <w:t xml:space="preserve">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 xml:space="preserve">к </w:t>
      </w:r>
      <w:proofErr w:type="gramStart"/>
      <w:r w:rsidRPr="00612CA0">
        <w:rPr>
          <w:b w:val="0"/>
          <w:bCs w:val="0"/>
          <w:iCs w:val="0"/>
          <w:sz w:val="24"/>
          <w:szCs w:val="24"/>
          <w:lang w:eastAsia="ar-SA"/>
        </w:rPr>
        <w:t>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proofErr w:type="gramEnd"/>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005C78F2" w:rsidRPr="00193009">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proofErr w:type="gramStart"/>
      <w:r>
        <w:rPr>
          <w:rFonts w:ascii="Times New Roman" w:hAnsi="Times New Roman"/>
          <w:bCs/>
          <w:i/>
          <w:color w:val="000000"/>
          <w:sz w:val="24"/>
          <w:szCs w:val="24"/>
        </w:rPr>
        <w:t xml:space="preserve">   (</w:t>
      </w:r>
      <w:proofErr w:type="gramEnd"/>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244145" w:rsidRPr="00244145" w:rsidRDefault="002F36F8" w:rsidP="00765D4F">
      <w:pPr>
        <w:pStyle w:val="ConsPlusNormal"/>
        <w:numPr>
          <w:ilvl w:val="0"/>
          <w:numId w:val="9"/>
        </w:numPr>
        <w:ind w:left="1134" w:hanging="567"/>
        <w:jc w:val="both"/>
        <w:rPr>
          <w:rFonts w:ascii="Times New Roman" w:hAnsi="Times New Roman" w:cs="Times New Roman"/>
          <w:sz w:val="24"/>
          <w:szCs w:val="24"/>
        </w:rPr>
      </w:pPr>
      <w:r w:rsidRPr="00AB3A4C">
        <w:rPr>
          <w:rFonts w:ascii="Times New Roman" w:hAnsi="Times New Roman"/>
          <w:sz w:val="24"/>
          <w:szCs w:val="24"/>
        </w:rPr>
        <w:t>Уставом муниципального образования</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D32D71">
      <w:pPr>
        <w:pStyle w:val="1-"/>
        <w:spacing w:before="0" w:after="0"/>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4510E8"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w:t>
      </w:r>
      <w:proofErr w:type="gramStart"/>
      <w:r w:rsidRPr="00D16151">
        <w:rPr>
          <w:rFonts w:ascii="Times New Roman" w:hAnsi="Times New Roman"/>
          <w:sz w:val="24"/>
          <w:szCs w:val="24"/>
        </w:rPr>
        <w:t>_</w:t>
      </w:r>
      <w:r w:rsidRPr="00D16151">
        <w:rPr>
          <w:rFonts w:ascii="Times New Roman" w:hAnsi="Times New Roman"/>
          <w:sz w:val="24"/>
          <w:szCs w:val="24"/>
        </w:rPr>
        <w:br/>
        <w:t>(</w:t>
      </w:r>
      <w:proofErr w:type="gramEnd"/>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t xml:space="preserve"> </w:t>
      </w:r>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w:t>
            </w:r>
            <w:r w:rsidRPr="00D16151">
              <w:rPr>
                <w:rFonts w:ascii="Times New Roman" w:eastAsia="Times New Roman" w:hAnsi="Times New Roman"/>
                <w:sz w:val="24"/>
                <w:szCs w:val="24"/>
                <w:lang w:eastAsia="ru-RU"/>
              </w:rPr>
              <w:lastRenderedPageBreak/>
              <w:t>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w:t>
            </w:r>
            <w:r w:rsidRPr="00123EDD">
              <w:rPr>
                <w:rFonts w:ascii="Times New Roman" w:hAnsi="Times New Roman"/>
                <w:sz w:val="24"/>
                <w:szCs w:val="24"/>
              </w:rPr>
              <w:lastRenderedPageBreak/>
              <w:t>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 xml:space="preserve">Временное удостоверение, </w:t>
            </w:r>
            <w:r w:rsidRPr="00123EDD">
              <w:rPr>
                <w:rFonts w:ascii="Times New Roman" w:hAnsi="Times New Roman"/>
                <w:sz w:val="24"/>
                <w:szCs w:val="24"/>
                <w:lang w:eastAsia="ru-RU"/>
              </w:rPr>
              <w:lastRenderedPageBreak/>
              <w:t>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Временное удостоверение, выданное взамен военного билета</w:t>
            </w:r>
            <w:r w:rsidRPr="00123EDD">
              <w:rPr>
                <w:rFonts w:ascii="Times New Roman" w:hAnsi="Times New Roman"/>
                <w:sz w:val="24"/>
                <w:szCs w:val="24"/>
              </w:rPr>
              <w:t xml:space="preserve"> должно быть </w:t>
            </w:r>
            <w:r w:rsidRPr="00123EDD">
              <w:rPr>
                <w:rFonts w:ascii="Times New Roman" w:hAnsi="Times New Roman"/>
                <w:sz w:val="24"/>
                <w:szCs w:val="24"/>
              </w:rPr>
              <w:lastRenderedPageBreak/>
              <w:t>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Данные документов, удостоверяющих </w:t>
            </w:r>
            <w:r w:rsidRPr="00123EDD">
              <w:rPr>
                <w:rFonts w:ascii="Times New Roman" w:eastAsia="Times New Roman" w:hAnsi="Times New Roman"/>
                <w:sz w:val="24"/>
                <w:szCs w:val="24"/>
                <w:lang w:eastAsia="ru-RU"/>
              </w:rPr>
              <w:lastRenderedPageBreak/>
              <w:t>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0"/>
          <w:footerReference w:type="default" r:id="rId11"/>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предоставления Муниципальной услуги</w:t>
      </w:r>
      <w:bookmarkEnd w:id="487"/>
      <w:r w:rsidRPr="00612CA0">
        <w:rPr>
          <w:b w:val="0"/>
          <w:bCs w:val="0"/>
          <w:iCs w:val="0"/>
          <w:sz w:val="24"/>
          <w:szCs w:val="24"/>
          <w:lang w:eastAsia="ar-SA"/>
        </w:rPr>
        <w:t xml:space="preserve"> </w:t>
      </w:r>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r w:rsidR="003E4A4C">
        <w:rPr>
          <w:rStyle w:val="afff8"/>
          <w:i w:val="0"/>
          <w:iCs/>
        </w:rPr>
        <w:t xml:space="preserve"> </w:t>
      </w:r>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w:t>
      </w:r>
      <w:proofErr w:type="gramStart"/>
      <w:r w:rsidRPr="00D16151">
        <w:rPr>
          <w:rFonts w:ascii="Times New Roman" w:hAnsi="Times New Roman"/>
          <w:sz w:val="24"/>
          <w:szCs w:val="24"/>
          <w:lang w:eastAsia="ru-RU"/>
        </w:rPr>
        <w:t xml:space="preserve">должность)   </w:t>
      </w:r>
      <w:proofErr w:type="gramEnd"/>
      <w:r w:rsidRPr="00D16151">
        <w:rPr>
          <w:rFonts w:ascii="Times New Roman" w:hAnsi="Times New Roman"/>
          <w:sz w:val="24"/>
          <w:szCs w:val="24"/>
          <w:lang w:eastAsia="ru-RU"/>
        </w:rPr>
        <w:t xml:space="preserve">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96"/>
      <w:r w:rsidRPr="00612CA0">
        <w:rPr>
          <w:b w:val="0"/>
          <w:bCs w:val="0"/>
          <w:iCs w:val="0"/>
          <w:sz w:val="24"/>
          <w:szCs w:val="24"/>
          <w:lang w:eastAsia="ar-SA"/>
        </w:rPr>
        <w:t xml:space="preserve"> </w:t>
      </w:r>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5"/>
      <w:r w:rsidRPr="00612CA0">
        <w:rPr>
          <w:b w:val="0"/>
          <w:bCs w:val="0"/>
          <w:iCs w:val="0"/>
          <w:sz w:val="24"/>
          <w:szCs w:val="24"/>
          <w:lang w:eastAsia="ar-SA"/>
        </w:rPr>
        <w:t xml:space="preserve"> </w:t>
      </w:r>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00D32D71" w:rsidRPr="003E4A4C">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w:t>
      </w:r>
      <w:r w:rsidRPr="00967CA2">
        <w:rPr>
          <w:rFonts w:ascii="Times New Roman" w:hAnsi="Times New Roman"/>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518"/>
    </w:p>
    <w:p w:rsidR="00D32D71" w:rsidRPr="003E4A4C" w:rsidRDefault="00D32D71" w:rsidP="00D32D7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 xml:space="preserve">в РПГУ на </w:t>
            </w:r>
            <w:proofErr w:type="gramStart"/>
            <w:r w:rsidR="00BD21B7" w:rsidRPr="00BD21B7">
              <w:rPr>
                <w:rFonts w:ascii="Times New Roman" w:hAnsi="Times New Roman"/>
                <w:sz w:val="24"/>
                <w:szCs w:val="24"/>
                <w:lang w:eastAsia="ru-RU"/>
              </w:rPr>
              <w:t>базе  МФЦ</w:t>
            </w:r>
            <w:proofErr w:type="gramEnd"/>
            <w:r w:rsidR="00BD21B7" w:rsidRPr="00BD21B7">
              <w:rPr>
                <w:rFonts w:ascii="Times New Roman" w:hAnsi="Times New Roman"/>
                <w:sz w:val="24"/>
                <w:szCs w:val="24"/>
                <w:lang w:eastAsia="ru-RU"/>
              </w:rPr>
              <w:t>/</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2C07FF">
              <w:rPr>
                <w:rFonts w:ascii="Times New Roman" w:hAnsi="Times New Roman"/>
                <w:color w:val="000000" w:themeColor="text1"/>
                <w:sz w:val="24"/>
                <w:szCs w:val="24"/>
                <w:lang w:eastAsia="ru-RU"/>
              </w:rPr>
              <w:lastRenderedPageBreak/>
              <w:t>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 xml:space="preserve">в РПГУ на </w:t>
            </w:r>
            <w:proofErr w:type="gramStart"/>
            <w:r w:rsidRPr="00BD21B7">
              <w:rPr>
                <w:rFonts w:ascii="Times New Roman" w:hAnsi="Times New Roman"/>
                <w:sz w:val="24"/>
                <w:szCs w:val="24"/>
                <w:lang w:eastAsia="ru-RU"/>
              </w:rPr>
              <w:t>базе  МФЦ</w:t>
            </w:r>
            <w:proofErr w:type="gramEnd"/>
            <w:r w:rsidRPr="00BD21B7">
              <w:rPr>
                <w:rFonts w:ascii="Times New Roman" w:hAnsi="Times New Roman"/>
                <w:sz w:val="24"/>
                <w:szCs w:val="24"/>
                <w:lang w:eastAsia="ru-RU"/>
              </w:rPr>
              <w:t>/</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lang w:eastAsia="ru-RU"/>
              </w:rPr>
              <w:t xml:space="preserve">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w:t>
            </w:r>
            <w:r>
              <w:rPr>
                <w:rFonts w:ascii="Times New Roman" w:hAnsi="Times New Roman"/>
                <w:sz w:val="24"/>
                <w:szCs w:val="24"/>
              </w:rPr>
              <w:lastRenderedPageBreak/>
              <w:t>«Принятие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принимает у Заявителя (представителя </w:t>
            </w:r>
            <w:r w:rsidRPr="00D571E1">
              <w:rPr>
                <w:rFonts w:ascii="Times New Roman" w:hAnsi="Times New Roman"/>
                <w:sz w:val="24"/>
                <w:szCs w:val="24"/>
              </w:rPr>
              <w:lastRenderedPageBreak/>
              <w:t>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3E4A4C" w:rsidRDefault="00D32D71" w:rsidP="00D32D71">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sidR="003E4A4C">
        <w:rPr>
          <w:b w:val="0"/>
          <w:bCs w:val="0"/>
          <w:iCs w:val="0"/>
          <w:sz w:val="24"/>
          <w:szCs w:val="24"/>
          <w:lang w:eastAsia="ar-SA"/>
        </w:rPr>
        <w:t xml:space="preserve">му </w:t>
      </w:r>
      <w:r w:rsidRPr="00612CA0">
        <w:rPr>
          <w:b w:val="0"/>
          <w:bCs w:val="0"/>
          <w:iCs w:val="0"/>
          <w:sz w:val="24"/>
          <w:szCs w:val="24"/>
          <w:lang w:eastAsia="ar-SA"/>
        </w:rPr>
        <w:t>регламент</w:t>
      </w:r>
      <w:r w:rsidR="003E4A4C">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r w:rsidR="00527FD9">
        <w:t xml:space="preserve"> </w:t>
      </w:r>
    </w:p>
    <w:p w:rsidR="000634DE" w:rsidRDefault="00056A65" w:rsidP="001D4BC3">
      <w:pPr>
        <w:rPr>
          <w:rFonts w:ascii="Times New Roman" w:hAnsi="Times New Roman"/>
          <w:sz w:val="24"/>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75pt;height:546.55pt" o:ole="">
            <v:imagedata r:id="rId12" o:title=""/>
          </v:shape>
          <o:OLEObject Type="Embed" ProgID="Visio.Drawing.11" ShapeID="_x0000_i1025" DrawAspect="Content" ObjectID="_1586242925" r:id="rId13"/>
        </w:object>
      </w:r>
    </w:p>
    <w:sectPr w:rsidR="000634DE" w:rsidSect="000565AE">
      <w:headerReference w:type="default" r:id="rId14"/>
      <w:footerReference w:type="default" r:id="rId15"/>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97" w:rsidRDefault="00346B97" w:rsidP="005F1EAE">
      <w:pPr>
        <w:spacing w:after="0" w:line="240" w:lineRule="auto"/>
      </w:pPr>
      <w:r>
        <w:separator/>
      </w:r>
    </w:p>
  </w:endnote>
  <w:endnote w:type="continuationSeparator" w:id="0">
    <w:p w:rsidR="00346B97" w:rsidRDefault="00346B97" w:rsidP="005F1EAE">
      <w:pPr>
        <w:spacing w:after="0" w:line="240" w:lineRule="auto"/>
      </w:pPr>
      <w:r>
        <w:continuationSeparator/>
      </w:r>
    </w:p>
  </w:endnote>
  <w:endnote w:type="continuationNotice" w:id="1">
    <w:p w:rsidR="00346B97" w:rsidRDefault="00346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EF" w:rsidRPr="002C07FF" w:rsidRDefault="006F0AE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4510E8">
      <w:rPr>
        <w:rStyle w:val="af5"/>
        <w:noProof/>
      </w:rPr>
      <w:t>45</w:t>
    </w:r>
    <w:r w:rsidRPr="002C07FF">
      <w:rPr>
        <w:rStyle w:val="af5"/>
        <w:rFonts w:ascii="Times New Roman" w:hAnsi="Times New Roman"/>
      </w:rPr>
      <w:fldChar w:fldCharType="end"/>
    </w:r>
  </w:p>
  <w:p w:rsidR="006F0AEF" w:rsidRDefault="006F0AE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EF" w:rsidRPr="00F921AB" w:rsidRDefault="006F0AE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D4BC3">
      <w:rPr>
        <w:rStyle w:val="af5"/>
        <w:rFonts w:ascii="Times New Roman" w:hAnsi="Times New Roman"/>
        <w:noProof/>
      </w:rPr>
      <w:t>46</w:t>
    </w:r>
    <w:r w:rsidRPr="00F921AB">
      <w:rPr>
        <w:rStyle w:val="af5"/>
        <w:rFonts w:ascii="Times New Roman" w:hAnsi="Times New Roman"/>
      </w:rPr>
      <w:fldChar w:fldCharType="end"/>
    </w:r>
  </w:p>
  <w:p w:rsidR="006F0AEF" w:rsidRDefault="006F0AE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97" w:rsidRDefault="00346B97" w:rsidP="005F1EAE">
      <w:pPr>
        <w:spacing w:after="0" w:line="240" w:lineRule="auto"/>
      </w:pPr>
      <w:r>
        <w:separator/>
      </w:r>
    </w:p>
  </w:footnote>
  <w:footnote w:type="continuationSeparator" w:id="0">
    <w:p w:rsidR="00346B97" w:rsidRDefault="00346B97" w:rsidP="005F1EAE">
      <w:pPr>
        <w:spacing w:after="0" w:line="240" w:lineRule="auto"/>
      </w:pPr>
      <w:r>
        <w:continuationSeparator/>
      </w:r>
    </w:p>
  </w:footnote>
  <w:footnote w:type="continuationNotice" w:id="1">
    <w:p w:rsidR="00346B97" w:rsidRDefault="00346B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EF" w:rsidRDefault="006F0AE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EF" w:rsidRPr="00A51355" w:rsidRDefault="006F0AE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4BC3"/>
    <w:rsid w:val="001D5B6F"/>
    <w:rsid w:val="001D5EE5"/>
    <w:rsid w:val="001D7386"/>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0E8"/>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1DCF"/>
    <w:rsid w:val="00632533"/>
    <w:rsid w:val="00633147"/>
    <w:rsid w:val="00634F18"/>
    <w:rsid w:val="006353AF"/>
    <w:rsid w:val="0063662D"/>
    <w:rsid w:val="00636882"/>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52"/>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5:docId w15:val="{F969CD70-5489-46FA-9E83-9870A76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4CB2-96FC-4BC9-95F9-F856D88C7D5C}">
  <ds:schemaRefs>
    <ds:schemaRef ds:uri="http://schemas.openxmlformats.org/officeDocument/2006/bibliography"/>
  </ds:schemaRefs>
</ds:datastoreItem>
</file>

<file path=customXml/itemProps2.xml><?xml version="1.0" encoding="utf-8"?>
<ds:datastoreItem xmlns:ds="http://schemas.openxmlformats.org/officeDocument/2006/customXml" ds:itemID="{28B0A68A-7BC9-4073-9069-F1F2FD65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12730</Words>
  <Characters>72563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85123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Елена Константинова</cp:lastModifiedBy>
  <cp:revision>10</cp:revision>
  <cp:lastPrinted>2018-04-25T14:07:00Z</cp:lastPrinted>
  <dcterms:created xsi:type="dcterms:W3CDTF">2018-04-19T11:44:00Z</dcterms:created>
  <dcterms:modified xsi:type="dcterms:W3CDTF">2018-04-26T07:16:00Z</dcterms:modified>
</cp:coreProperties>
</file>