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CA35E8">
        <w:t>______</w:t>
      </w:r>
      <w:r w:rsidR="00CC16D6">
        <w:t>________</w:t>
      </w:r>
      <w:r w:rsidR="00CA35E8">
        <w:t>___</w:t>
      </w:r>
      <w:r>
        <w:t xml:space="preserve"> № </w:t>
      </w:r>
      <w:r w:rsidR="0077194D">
        <w:t>_______________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B24C1" w:rsidRPr="00CC1FB0" w:rsidRDefault="00B57016" w:rsidP="00CC1FB0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CC1FB0">
        <w:t xml:space="preserve"> </w:t>
      </w:r>
      <w:r w:rsidR="00D42026" w:rsidRPr="00B57016">
        <w:t>городского округа Электросталь Московской области</w:t>
      </w:r>
      <w:r w:rsidR="00CC1FB0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CC1FB0" w:rsidRDefault="00CC1FB0" w:rsidP="00DB24C1">
      <w:pPr>
        <w:tabs>
          <w:tab w:val="center" w:pos="4677"/>
        </w:tabs>
        <w:jc w:val="both"/>
      </w:pPr>
    </w:p>
    <w:p w:rsidR="00CC1FB0" w:rsidRDefault="00CC1FB0" w:rsidP="00DB24C1">
      <w:pPr>
        <w:tabs>
          <w:tab w:val="center" w:pos="4677"/>
        </w:tabs>
        <w:jc w:val="both"/>
      </w:pPr>
    </w:p>
    <w:p w:rsidR="00CC1FB0" w:rsidRDefault="00CC1FB0" w:rsidP="00DB24C1">
      <w:pPr>
        <w:tabs>
          <w:tab w:val="center" w:pos="4677"/>
        </w:tabs>
        <w:jc w:val="both"/>
      </w:pPr>
    </w:p>
    <w:p w:rsidR="00CC1FB0" w:rsidRDefault="00CC1FB0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DB24C1" w:rsidRPr="0065591C" w:rsidRDefault="00DB24C1" w:rsidP="00A516C5">
      <w:pPr>
        <w:spacing w:line="240" w:lineRule="exact"/>
        <w:ind w:left="-142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2B28CC">
        <w:rPr>
          <w:rFonts w:cs="Times New Roman"/>
        </w:rPr>
        <w:t>______________</w:t>
      </w:r>
      <w:r>
        <w:rPr>
          <w:rFonts w:cs="Times New Roman"/>
        </w:rPr>
        <w:t xml:space="preserve"> № </w:t>
      </w:r>
      <w:r w:rsidR="00CA35E8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056A5C">
        <w:rPr>
          <w:rFonts w:cs="Times New Roman"/>
        </w:rPr>
        <w:t xml:space="preserve">,   </w:t>
      </w:r>
      <w:proofErr w:type="gramEnd"/>
      <w:r w:rsidR="00056A5C">
        <w:rPr>
          <w:rFonts w:cs="Times New Roman"/>
        </w:rPr>
        <w:t xml:space="preserve">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414D72" w:rsidRPr="00414D72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C6241" w:rsidRPr="00163DE6" w:rsidTr="008F4E49">
        <w:tc>
          <w:tcPr>
            <w:tcW w:w="2060" w:type="dxa"/>
          </w:tcPr>
          <w:p w:rsidR="005C6241" w:rsidRPr="00163DE6" w:rsidRDefault="005C6241" w:rsidP="005C6241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4 261 515,54</w:t>
            </w:r>
          </w:p>
        </w:tc>
        <w:tc>
          <w:tcPr>
            <w:tcW w:w="1209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981 117,07</w:t>
            </w:r>
          </w:p>
        </w:tc>
        <w:tc>
          <w:tcPr>
            <w:tcW w:w="1201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5C6241" w:rsidRPr="00163DE6" w:rsidTr="008F4E49">
        <w:tc>
          <w:tcPr>
            <w:tcW w:w="2060" w:type="dxa"/>
          </w:tcPr>
          <w:p w:rsidR="005C6241" w:rsidRPr="00163DE6" w:rsidRDefault="005C6241" w:rsidP="005C6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10 218 136,91</w:t>
            </w:r>
          </w:p>
        </w:tc>
        <w:tc>
          <w:tcPr>
            <w:tcW w:w="1209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2 022 193,87</w:t>
            </w:r>
          </w:p>
        </w:tc>
        <w:tc>
          <w:tcPr>
            <w:tcW w:w="1201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278 576,83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17 056,00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6241" w:rsidRPr="00163DE6" w:rsidTr="008F4E49">
        <w:tc>
          <w:tcPr>
            <w:tcW w:w="2060" w:type="dxa"/>
          </w:tcPr>
          <w:p w:rsidR="005C6241" w:rsidRPr="00163DE6" w:rsidRDefault="005C6241" w:rsidP="005C6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14 758 229,28</w:t>
            </w:r>
          </w:p>
        </w:tc>
        <w:tc>
          <w:tcPr>
            <w:tcW w:w="1209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3 020 366,94</w:t>
            </w:r>
          </w:p>
        </w:tc>
        <w:tc>
          <w:tcPr>
            <w:tcW w:w="1201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оборудования для дошкольных образовательных организаций - победителей областного </w:t>
      </w:r>
      <w:r w:rsidR="000B23EA" w:rsidRPr="000B23EA">
        <w:rPr>
          <w:rFonts w:eastAsiaTheme="minorHAnsi" w:cs="Times New Roman"/>
          <w:lang w:eastAsia="en-US"/>
        </w:rPr>
        <w:lastRenderedPageBreak/>
        <w:t>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</w:t>
      </w:r>
      <w:r w:rsidRPr="0023682D">
        <w:rPr>
          <w:rFonts w:eastAsiaTheme="minorHAnsi" w:cs="Times New Roman"/>
          <w:lang w:eastAsia="en-US"/>
        </w:rPr>
        <w:lastRenderedPageBreak/>
        <w:t>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F366E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</w:t>
            </w:r>
            <w:r w:rsidR="00F366ED"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ФОИВ </w:t>
            </w:r>
            <w:r w:rsidR="009D3968" w:rsidRPr="000C6D7E">
              <w:rPr>
                <w:rFonts w:ascii="Times New Roman" w:hAnsi="Times New Roman"/>
                <w:sz w:val="20"/>
              </w:rPr>
              <w:t>по федеральному проекту</w:t>
            </w:r>
            <w:r w:rsidR="009D3968" w:rsidRPr="000B0C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t>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251A5C" w:rsidRPr="00C6627E" w:rsidRDefault="003D388D" w:rsidP="00961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96133C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</w:t>
            </w:r>
            <w:r w:rsidR="00BD447A">
              <w:rPr>
                <w:i/>
                <w:sz w:val="20"/>
                <w:szCs w:val="20"/>
              </w:rPr>
              <w:t>оля обучающихся во вторую смену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CC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>8 лет</w:t>
            </w:r>
            <w:r w:rsidRPr="00A00EDE">
              <w:rPr>
                <w:rFonts w:ascii="Times New Roman" w:hAnsi="Times New Roman"/>
                <w:i/>
                <w:sz w:val="20"/>
              </w:rPr>
              <w:t>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61C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 xml:space="preserve"> Московской области</w:t>
            </w:r>
            <w:r w:rsidR="00261CA3"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0C6D7E">
              <w:rPr>
                <w:rFonts w:ascii="Times New Roman" w:hAnsi="Times New Roman"/>
                <w:sz w:val="20"/>
              </w:rPr>
              <w:t>федеральному проекту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53174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0F3D00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A52ED2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18 лет,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61CA3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 w:rsidR="00A52ED2">
              <w:rPr>
                <w:rFonts w:ascii="Times New Roman" w:hAnsi="Times New Roman"/>
                <w:i/>
                <w:sz w:val="20"/>
              </w:rPr>
              <w:t xml:space="preserve"> Московской области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73208D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</w:t>
            </w:r>
            <w:r w:rsidR="00971A28">
              <w:rPr>
                <w:rFonts w:ascii="Times New Roman" w:hAnsi="Times New Roman" w:cs="Times New Roman"/>
                <w:sz w:val="20"/>
              </w:rPr>
              <w:t>овек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</w:t>
            </w:r>
            <w:r w:rsidRPr="00F742C1">
              <w:rPr>
                <w:sz w:val="20"/>
                <w:szCs w:val="20"/>
              </w:rPr>
              <w:lastRenderedPageBreak/>
              <w:t xml:space="preserve">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5 548 216,01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1 129 699,61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1 809 099,30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393 446,90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5 535 176,30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1 125 023,90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1 806 962,30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391 309,90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A098F" w:rsidRPr="00160D77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A098F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171" w:rsidRPr="00FE0B2D" w:rsidTr="00C655CD">
        <w:tc>
          <w:tcPr>
            <w:tcW w:w="567" w:type="dxa"/>
            <w:vMerge w:val="restart"/>
          </w:tcPr>
          <w:p w:rsidR="00041171" w:rsidRPr="00FE0B2D" w:rsidRDefault="00041171" w:rsidP="000411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041171" w:rsidRPr="001D37F6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1171" w:rsidRPr="00FE0B2D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041171" w:rsidRPr="00FE0B2D" w:rsidRDefault="00041171" w:rsidP="000411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41171" w:rsidRPr="00FE0B2D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41171" w:rsidRPr="00516BE3" w:rsidRDefault="00041171" w:rsidP="000411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041171" w:rsidRPr="00041171" w:rsidRDefault="00041171" w:rsidP="000411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171">
              <w:rPr>
                <w:color w:val="000000"/>
                <w:sz w:val="16"/>
                <w:szCs w:val="16"/>
              </w:rPr>
              <w:t>5 537 036,30</w:t>
            </w:r>
          </w:p>
        </w:tc>
        <w:tc>
          <w:tcPr>
            <w:tcW w:w="993" w:type="dxa"/>
            <w:vAlign w:val="center"/>
          </w:tcPr>
          <w:p w:rsidR="00041171" w:rsidRPr="00041171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041171">
              <w:rPr>
                <w:color w:val="000000"/>
                <w:sz w:val="16"/>
                <w:szCs w:val="16"/>
              </w:rPr>
              <w:t>1 125 395,90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041171" w:rsidRPr="00FE0B2D" w:rsidRDefault="00041171" w:rsidP="000411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41171" w:rsidRPr="00FE0B2D" w:rsidRDefault="00041171" w:rsidP="000411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1171" w:rsidRPr="00FE0B2D" w:rsidTr="00C655CD">
        <w:tc>
          <w:tcPr>
            <w:tcW w:w="567" w:type="dxa"/>
            <w:vMerge/>
          </w:tcPr>
          <w:p w:rsidR="00041171" w:rsidRPr="00FE0B2D" w:rsidRDefault="00041171" w:rsidP="000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171" w:rsidRPr="00FE0B2D" w:rsidRDefault="00041171" w:rsidP="000411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171" w:rsidRPr="00FE0B2D" w:rsidRDefault="00041171" w:rsidP="000411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171" w:rsidRPr="00FE0B2D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41171" w:rsidRPr="00516BE3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041171" w:rsidRPr="00041171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041171">
              <w:rPr>
                <w:color w:val="000000"/>
                <w:sz w:val="16"/>
                <w:szCs w:val="16"/>
              </w:rPr>
              <w:t>1 805 232,30</w:t>
            </w:r>
          </w:p>
        </w:tc>
        <w:tc>
          <w:tcPr>
            <w:tcW w:w="993" w:type="dxa"/>
            <w:vAlign w:val="center"/>
          </w:tcPr>
          <w:p w:rsidR="00041171" w:rsidRPr="00041171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041171">
              <w:rPr>
                <w:color w:val="000000"/>
                <w:sz w:val="16"/>
                <w:szCs w:val="16"/>
              </w:rPr>
              <w:t>390 963,90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041171" w:rsidRPr="00F500C9" w:rsidRDefault="00041171" w:rsidP="00041171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041171" w:rsidRPr="00FE0B2D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171" w:rsidRPr="00FE0B2D" w:rsidRDefault="00041171" w:rsidP="000411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7407" w:rsidRPr="00FE0B2D" w:rsidTr="00C655CD">
        <w:tc>
          <w:tcPr>
            <w:tcW w:w="567" w:type="dxa"/>
            <w:vMerge w:val="restart"/>
          </w:tcPr>
          <w:p w:rsidR="00687407" w:rsidRPr="00FE0B2D" w:rsidRDefault="00687407" w:rsidP="006874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687407" w:rsidRDefault="00687407" w:rsidP="006874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687407" w:rsidRPr="00FE0B2D" w:rsidRDefault="00687407" w:rsidP="00687407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687407" w:rsidRPr="00FE0B2D" w:rsidRDefault="00687407" w:rsidP="006874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7407" w:rsidRPr="00FE0B2D" w:rsidRDefault="00687407" w:rsidP="00687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7407" w:rsidRPr="00B97263" w:rsidRDefault="00687407" w:rsidP="006874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7407" w:rsidRPr="00687407" w:rsidRDefault="00687407" w:rsidP="006874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7407">
              <w:rPr>
                <w:color w:val="000000"/>
                <w:sz w:val="16"/>
                <w:szCs w:val="16"/>
              </w:rPr>
              <w:t>1 687 060,65</w:t>
            </w:r>
          </w:p>
        </w:tc>
        <w:tc>
          <w:tcPr>
            <w:tcW w:w="993" w:type="dxa"/>
            <w:vAlign w:val="center"/>
          </w:tcPr>
          <w:p w:rsidR="00687407" w:rsidRPr="00687407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687407">
              <w:rPr>
                <w:color w:val="000000"/>
                <w:sz w:val="16"/>
                <w:szCs w:val="16"/>
              </w:rPr>
              <w:t>365 699,05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687407" w:rsidRPr="00CD1C96" w:rsidRDefault="00687407" w:rsidP="006874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7407" w:rsidRPr="00FE0B2D" w:rsidRDefault="00687407" w:rsidP="006874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687407" w:rsidRPr="00FE0B2D" w:rsidTr="00C655CD">
        <w:tc>
          <w:tcPr>
            <w:tcW w:w="567" w:type="dxa"/>
            <w:vMerge/>
          </w:tcPr>
          <w:p w:rsidR="00687407" w:rsidRPr="00FE0B2D" w:rsidRDefault="00687407" w:rsidP="006874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7407" w:rsidRPr="00FE0B2D" w:rsidRDefault="00687407" w:rsidP="006874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7407" w:rsidRPr="00FE0B2D" w:rsidRDefault="00687407" w:rsidP="006874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7407" w:rsidRPr="00FE0B2D" w:rsidRDefault="00687407" w:rsidP="006874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7407" w:rsidRPr="00687407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687407">
              <w:rPr>
                <w:color w:val="000000"/>
                <w:sz w:val="16"/>
                <w:szCs w:val="16"/>
              </w:rPr>
              <w:t>1 687 060,65</w:t>
            </w:r>
          </w:p>
        </w:tc>
        <w:tc>
          <w:tcPr>
            <w:tcW w:w="993" w:type="dxa"/>
            <w:vAlign w:val="center"/>
          </w:tcPr>
          <w:p w:rsidR="00687407" w:rsidRPr="00687407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687407">
              <w:rPr>
                <w:color w:val="000000"/>
                <w:sz w:val="16"/>
                <w:szCs w:val="16"/>
              </w:rPr>
              <w:t>365 699,05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7407" w:rsidRPr="00B97263" w:rsidRDefault="00687407" w:rsidP="0068740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687407" w:rsidRPr="00FE0B2D" w:rsidRDefault="00687407" w:rsidP="006874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7407" w:rsidRPr="00FE0B2D" w:rsidRDefault="00687407" w:rsidP="006874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80A" w:rsidRPr="00FE0B2D" w:rsidTr="00003A87">
        <w:tc>
          <w:tcPr>
            <w:tcW w:w="567" w:type="dxa"/>
            <w:vMerge w:val="restart"/>
          </w:tcPr>
          <w:p w:rsidR="005D080A" w:rsidRPr="00FE0B2D" w:rsidRDefault="005D080A" w:rsidP="005D08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D080A" w:rsidRPr="00FE0B2D" w:rsidRDefault="005D080A" w:rsidP="005D080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D080A" w:rsidRPr="00FE0B2D" w:rsidRDefault="005D080A" w:rsidP="005D08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80A" w:rsidRPr="00FE0B2D" w:rsidRDefault="005D080A" w:rsidP="005D0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D080A" w:rsidRPr="0063331B" w:rsidRDefault="005D080A" w:rsidP="005D08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080A">
              <w:rPr>
                <w:sz w:val="16"/>
                <w:szCs w:val="16"/>
              </w:rPr>
              <w:t>5 548 216,01</w:t>
            </w:r>
          </w:p>
        </w:tc>
        <w:tc>
          <w:tcPr>
            <w:tcW w:w="993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16"/>
                <w:szCs w:val="16"/>
              </w:rPr>
            </w:pPr>
            <w:r w:rsidRPr="005D080A">
              <w:rPr>
                <w:sz w:val="16"/>
                <w:szCs w:val="16"/>
              </w:rPr>
              <w:t>1 129 699,61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5D080A" w:rsidRPr="00FE0B2D" w:rsidRDefault="005D080A" w:rsidP="005D0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0A" w:rsidRPr="00FE0B2D" w:rsidTr="00003A87">
        <w:tc>
          <w:tcPr>
            <w:tcW w:w="567" w:type="dxa"/>
            <w:vMerge/>
          </w:tcPr>
          <w:p w:rsidR="005D080A" w:rsidRPr="00FE0B2D" w:rsidRDefault="005D080A" w:rsidP="005D08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80A" w:rsidRPr="00FE0B2D" w:rsidRDefault="005D080A" w:rsidP="005D08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80A" w:rsidRPr="00FE0B2D" w:rsidRDefault="005D080A" w:rsidP="005D08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80A" w:rsidRPr="00FE0B2D" w:rsidRDefault="005D080A" w:rsidP="005D0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D080A" w:rsidRPr="0063331B" w:rsidRDefault="005D080A" w:rsidP="005D080A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16"/>
                <w:szCs w:val="16"/>
              </w:rPr>
            </w:pPr>
            <w:r w:rsidRPr="005D080A">
              <w:rPr>
                <w:sz w:val="16"/>
                <w:szCs w:val="16"/>
              </w:rPr>
              <w:t>1 809 099,30</w:t>
            </w:r>
          </w:p>
        </w:tc>
        <w:tc>
          <w:tcPr>
            <w:tcW w:w="993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16"/>
                <w:szCs w:val="16"/>
              </w:rPr>
            </w:pPr>
            <w:r w:rsidRPr="005D080A">
              <w:rPr>
                <w:sz w:val="16"/>
                <w:szCs w:val="16"/>
              </w:rPr>
              <w:t>393 446,90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D080A" w:rsidRPr="005C334C" w:rsidRDefault="005D080A" w:rsidP="005D080A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5D080A" w:rsidRPr="00FE0B2D" w:rsidRDefault="005D080A" w:rsidP="005D0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7 913 105,10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1 599 008,12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1 239 489,94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306 450,96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6 450 194,73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1 275 501,16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</w:tr>
      <w:tr w:rsidR="006400C7" w:rsidRPr="00025001" w:rsidTr="00D126C3">
        <w:trPr>
          <w:trHeight w:val="497"/>
        </w:trPr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lastRenderedPageBreak/>
              <w:t>7 876 788,54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1 588 655,56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1 235 628,38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302 589,40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6 417 739,73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1 269 010,16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E533C" w:rsidRPr="00FE0B2D" w:rsidTr="00EF1E46">
        <w:tc>
          <w:tcPr>
            <w:tcW w:w="567" w:type="dxa"/>
            <w:vMerge w:val="restart"/>
          </w:tcPr>
          <w:p w:rsidR="003E533C" w:rsidRPr="00FE0B2D" w:rsidRDefault="003E533C" w:rsidP="003E53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E533C" w:rsidRDefault="003E533C" w:rsidP="003E5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533C" w:rsidRPr="00FE0B2D" w:rsidRDefault="003E533C" w:rsidP="003E5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E533C" w:rsidRPr="00FE0B2D" w:rsidRDefault="003E533C" w:rsidP="003E53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533C" w:rsidRPr="00FE0B2D" w:rsidRDefault="003E533C" w:rsidP="003E5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533C" w:rsidRPr="00AF17CA" w:rsidRDefault="003E533C" w:rsidP="003E533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3E533C" w:rsidRPr="003E533C" w:rsidRDefault="003E533C" w:rsidP="003E533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533C">
              <w:rPr>
                <w:color w:val="000000"/>
                <w:sz w:val="16"/>
                <w:szCs w:val="16"/>
              </w:rPr>
              <w:t>6 914 332,13</w:t>
            </w:r>
          </w:p>
        </w:tc>
        <w:tc>
          <w:tcPr>
            <w:tcW w:w="993" w:type="dxa"/>
            <w:vAlign w:val="center"/>
          </w:tcPr>
          <w:p w:rsidR="003E533C" w:rsidRPr="003E533C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3E533C">
              <w:rPr>
                <w:color w:val="000000"/>
                <w:sz w:val="16"/>
                <w:szCs w:val="16"/>
              </w:rPr>
              <w:t>1 409 191,43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3E533C" w:rsidRPr="00FE0B2D" w:rsidRDefault="003E533C" w:rsidP="003E53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533C" w:rsidRPr="00FE0B2D" w:rsidRDefault="003E533C" w:rsidP="003E53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533C" w:rsidRPr="00FE0B2D" w:rsidTr="00EF1E46">
        <w:tc>
          <w:tcPr>
            <w:tcW w:w="567" w:type="dxa"/>
            <w:vMerge/>
          </w:tcPr>
          <w:p w:rsidR="003E533C" w:rsidRPr="00FE0B2D" w:rsidRDefault="003E533C" w:rsidP="003E533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533C" w:rsidRPr="00FE0B2D" w:rsidRDefault="003E533C" w:rsidP="003E53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533C" w:rsidRPr="00FE0B2D" w:rsidRDefault="003E533C" w:rsidP="003E53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3C" w:rsidRPr="00FE0B2D" w:rsidRDefault="003E533C" w:rsidP="003E5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3E533C" w:rsidRPr="003E533C" w:rsidRDefault="003E533C" w:rsidP="003E533C">
            <w:pPr>
              <w:jc w:val="center"/>
              <w:rPr>
                <w:sz w:val="16"/>
                <w:szCs w:val="16"/>
              </w:rPr>
            </w:pPr>
            <w:r w:rsidRPr="003E533C">
              <w:rPr>
                <w:sz w:val="16"/>
                <w:szCs w:val="16"/>
              </w:rPr>
              <w:t>1 021 014,13</w:t>
            </w:r>
          </w:p>
        </w:tc>
        <w:tc>
          <w:tcPr>
            <w:tcW w:w="993" w:type="dxa"/>
            <w:vAlign w:val="center"/>
          </w:tcPr>
          <w:p w:rsidR="003E533C" w:rsidRPr="003E533C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3E533C">
              <w:rPr>
                <w:color w:val="000000"/>
                <w:sz w:val="16"/>
                <w:szCs w:val="16"/>
              </w:rPr>
              <w:t>232 137,43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3E533C" w:rsidRPr="00AF17CA" w:rsidRDefault="003E533C" w:rsidP="003E533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3E533C" w:rsidRPr="00FE0B2D" w:rsidRDefault="003E533C" w:rsidP="003E5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533C" w:rsidRPr="00FE0B2D" w:rsidRDefault="003E533C" w:rsidP="003E53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94D43" w:rsidRPr="00BE6A68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764 871,42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164 899,42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209 558,26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66 452,26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555 313,16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98 447,16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D94D43" w:rsidRDefault="00D94D43" w:rsidP="00D94D4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232 662,74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103 836,34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2702" w:rsidRPr="00FE0B2D" w:rsidTr="008E2171">
        <w:tc>
          <w:tcPr>
            <w:tcW w:w="567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1E2702" w:rsidRPr="00FE0B2D" w:rsidRDefault="001E2702" w:rsidP="001E27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E2702" w:rsidRPr="00FE0B2D" w:rsidRDefault="001E2702" w:rsidP="001E27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229 983,49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101 157,09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E2702" w:rsidRPr="007D1D7A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1E2702" w:rsidRPr="00FE0B2D" w:rsidTr="008E2171">
        <w:tc>
          <w:tcPr>
            <w:tcW w:w="567" w:type="dxa"/>
            <w:vMerge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sz w:val="16"/>
                <w:szCs w:val="16"/>
              </w:rPr>
            </w:pPr>
            <w:r w:rsidRPr="001E2702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E1B" w:rsidRPr="00FE0B2D" w:rsidTr="00EF1E46">
        <w:tc>
          <w:tcPr>
            <w:tcW w:w="567" w:type="dxa"/>
            <w:vMerge w:val="restart"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94E1B" w:rsidRPr="00FE0B2D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94E1B" w:rsidRPr="00FE0B2D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218 048,44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22 044,44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94E1B" w:rsidRPr="00FE0B2D" w:rsidTr="006B03F7">
        <w:tc>
          <w:tcPr>
            <w:tcW w:w="567" w:type="dxa"/>
            <w:vMerge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E1B" w:rsidRPr="000C0BAB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E1B" w:rsidRPr="000C0BAB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sz w:val="16"/>
                <w:szCs w:val="16"/>
              </w:rPr>
            </w:pPr>
            <w:r w:rsidRPr="00294E1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92516" w:rsidRPr="00F92516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:rsidR="00F92516" w:rsidRPr="00FE0B2D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261 431,00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29 559,00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аттестации обучающихся, освоивших образовательные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60E7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8 169,88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3 861,60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E14EE1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4 917,88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3 861,60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</w:t>
            </w:r>
            <w:r w:rsidRPr="009D39BE">
              <w:rPr>
                <w:rFonts w:cs="Times New Roman"/>
                <w:sz w:val="16"/>
                <w:szCs w:val="16"/>
              </w:rPr>
              <w:lastRenderedPageBreak/>
              <w:t xml:space="preserve">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Закуплено оборудование для формирования у обучающихся современных технологических и </w:t>
            </w:r>
            <w:r w:rsidRPr="00987C78">
              <w:rPr>
                <w:rFonts w:cs="Times New Roman"/>
                <w:sz w:val="16"/>
                <w:szCs w:val="16"/>
              </w:rPr>
              <w:lastRenderedPageBreak/>
              <w:t>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 w:val="restart"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7 913 105,10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1 599 008,12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1 239 489,94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306 450,96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6 450 194,73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1 275 501,16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217A70">
        <w:trPr>
          <w:trHeight w:val="421"/>
        </w:trPr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20CA" w:rsidRPr="00B34CFC" w:rsidRDefault="00A520CA" w:rsidP="00A520CA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223 420,43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960 070,25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218 369,31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876 088,38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207 929,31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lastRenderedPageBreak/>
              <w:t>519 121,05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445 579,18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E2ED8" w:rsidRPr="001B4EA7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2B0A7D" w:rsidTr="00CD1C96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CD1C96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B04" w:rsidRPr="00FE0B2D" w:rsidTr="001F3789">
        <w:tc>
          <w:tcPr>
            <w:tcW w:w="567" w:type="dxa"/>
            <w:vMerge w:val="restart"/>
          </w:tcPr>
          <w:p w:rsidR="00883B04" w:rsidRPr="004912BE" w:rsidRDefault="00883B04" w:rsidP="00883B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883B04" w:rsidRPr="004912BE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83B04" w:rsidRPr="00FE0B2D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83B04" w:rsidRPr="00FE0B2D" w:rsidTr="001F3789">
        <w:tc>
          <w:tcPr>
            <w:tcW w:w="567" w:type="dxa"/>
            <w:vMerge/>
          </w:tcPr>
          <w:p w:rsidR="00883B04" w:rsidRPr="001E3362" w:rsidRDefault="00883B04" w:rsidP="00883B04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83B04" w:rsidRPr="001E3362" w:rsidRDefault="00883B04" w:rsidP="00883B04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83B04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sz w:val="16"/>
                <w:szCs w:val="16"/>
              </w:rPr>
            </w:pPr>
            <w:r w:rsidRPr="00883B04">
              <w:rPr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 w:val="restart"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960 070,25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218 369,31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876 088,38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207 929,31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60609" w:rsidRPr="00FE0B2D" w:rsidTr="00C07434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0609" w:rsidRPr="00C07434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0609" w:rsidRPr="00FE0B2D" w:rsidTr="00C07434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0609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EF" w:rsidRDefault="00DE77EF" w:rsidP="00CA72CC">
      <w:r>
        <w:separator/>
      </w:r>
    </w:p>
  </w:endnote>
  <w:endnote w:type="continuationSeparator" w:id="0">
    <w:p w:rsidR="00DE77EF" w:rsidRDefault="00DE77EF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EF" w:rsidRDefault="00DE77EF" w:rsidP="00CA72CC">
      <w:r>
        <w:separator/>
      </w:r>
    </w:p>
  </w:footnote>
  <w:footnote w:type="continuationSeparator" w:id="0">
    <w:p w:rsidR="00DE77EF" w:rsidRDefault="00DE77EF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6B03F7" w:rsidRDefault="006B0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96">
          <w:rPr>
            <w:noProof/>
          </w:rPr>
          <w:t>21</w:t>
        </w:r>
        <w:r>
          <w:fldChar w:fldCharType="end"/>
        </w:r>
      </w:p>
    </w:sdtContent>
  </w:sdt>
  <w:p w:rsidR="006B03F7" w:rsidRDefault="006B0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21ABF"/>
    <w:rsid w:val="00130ACB"/>
    <w:rsid w:val="00143647"/>
    <w:rsid w:val="0014502D"/>
    <w:rsid w:val="001509B0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5880"/>
    <w:rsid w:val="001A4A02"/>
    <w:rsid w:val="001A54E9"/>
    <w:rsid w:val="001A6B99"/>
    <w:rsid w:val="001A6C48"/>
    <w:rsid w:val="001B08A8"/>
    <w:rsid w:val="001B09B4"/>
    <w:rsid w:val="001B2745"/>
    <w:rsid w:val="001B4EA7"/>
    <w:rsid w:val="001B6A5B"/>
    <w:rsid w:val="001C0D22"/>
    <w:rsid w:val="001C165D"/>
    <w:rsid w:val="001D013D"/>
    <w:rsid w:val="001D37F6"/>
    <w:rsid w:val="001D6DE8"/>
    <w:rsid w:val="001E2702"/>
    <w:rsid w:val="001E2713"/>
    <w:rsid w:val="001E2969"/>
    <w:rsid w:val="001E3362"/>
    <w:rsid w:val="001E40FE"/>
    <w:rsid w:val="001F216C"/>
    <w:rsid w:val="001F278A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62A2"/>
    <w:rsid w:val="00284A74"/>
    <w:rsid w:val="00287264"/>
    <w:rsid w:val="00290259"/>
    <w:rsid w:val="002931E3"/>
    <w:rsid w:val="00294E1B"/>
    <w:rsid w:val="002B0A7D"/>
    <w:rsid w:val="002B10C4"/>
    <w:rsid w:val="002B28CC"/>
    <w:rsid w:val="002B6811"/>
    <w:rsid w:val="002B7207"/>
    <w:rsid w:val="002C0AA6"/>
    <w:rsid w:val="002C27BD"/>
    <w:rsid w:val="002C369B"/>
    <w:rsid w:val="002C4C64"/>
    <w:rsid w:val="002D0A5D"/>
    <w:rsid w:val="002D3AD3"/>
    <w:rsid w:val="002D4DD1"/>
    <w:rsid w:val="002D7754"/>
    <w:rsid w:val="002E3AB2"/>
    <w:rsid w:val="002F6605"/>
    <w:rsid w:val="002F6A7A"/>
    <w:rsid w:val="003016C6"/>
    <w:rsid w:val="00307D75"/>
    <w:rsid w:val="00310D8B"/>
    <w:rsid w:val="00312507"/>
    <w:rsid w:val="00315CCC"/>
    <w:rsid w:val="0031707D"/>
    <w:rsid w:val="0032510C"/>
    <w:rsid w:val="003314A6"/>
    <w:rsid w:val="003360CD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5C7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796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1556"/>
    <w:rsid w:val="00622FE9"/>
    <w:rsid w:val="0062347F"/>
    <w:rsid w:val="00626788"/>
    <w:rsid w:val="006324F3"/>
    <w:rsid w:val="00632571"/>
    <w:rsid w:val="0063331B"/>
    <w:rsid w:val="006338AE"/>
    <w:rsid w:val="006400C7"/>
    <w:rsid w:val="00646159"/>
    <w:rsid w:val="0065419C"/>
    <w:rsid w:val="006633BD"/>
    <w:rsid w:val="006650E9"/>
    <w:rsid w:val="00665767"/>
    <w:rsid w:val="00676422"/>
    <w:rsid w:val="00677181"/>
    <w:rsid w:val="00681CB4"/>
    <w:rsid w:val="00685688"/>
    <w:rsid w:val="00687407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194D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3B04"/>
    <w:rsid w:val="00884CBE"/>
    <w:rsid w:val="00884DFD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10BF8"/>
    <w:rsid w:val="00915F62"/>
    <w:rsid w:val="0091734C"/>
    <w:rsid w:val="00920E42"/>
    <w:rsid w:val="00921616"/>
    <w:rsid w:val="00921ADB"/>
    <w:rsid w:val="009220DD"/>
    <w:rsid w:val="00931FEA"/>
    <w:rsid w:val="00932308"/>
    <w:rsid w:val="009355D7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6A68"/>
    <w:rsid w:val="00BE6BBC"/>
    <w:rsid w:val="00C007DA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3C6F"/>
    <w:rsid w:val="00CB48E4"/>
    <w:rsid w:val="00CC16D6"/>
    <w:rsid w:val="00CC1FB0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1A91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2A6E"/>
    <w:rsid w:val="00ED4E7D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BE04-F8B0-4197-AB63-713C665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71</Pages>
  <Words>17958</Words>
  <Characters>102364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238</cp:revision>
  <cp:lastPrinted>2020-08-07T09:50:00Z</cp:lastPrinted>
  <dcterms:created xsi:type="dcterms:W3CDTF">2019-11-25T11:58:00Z</dcterms:created>
  <dcterms:modified xsi:type="dcterms:W3CDTF">2020-08-07T11:46:00Z</dcterms:modified>
</cp:coreProperties>
</file>