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71" w:rsidRPr="009B3571" w:rsidRDefault="009B3571" w:rsidP="009B3571">
      <w:pPr>
        <w:ind w:left="-1560" w:right="-567"/>
        <w:jc w:val="center"/>
        <w:rPr>
          <w:rFonts w:cs="Arial"/>
          <w:sz w:val="24"/>
          <w:szCs w:val="24"/>
        </w:rPr>
      </w:pPr>
      <w:r w:rsidRPr="009B3571">
        <w:rPr>
          <w:rFonts w:cs="Arial"/>
          <w:noProof/>
          <w:sz w:val="24"/>
          <w:szCs w:val="24"/>
        </w:rPr>
        <w:drawing>
          <wp:inline distT="0" distB="0" distL="0" distR="0">
            <wp:extent cx="817245" cy="836295"/>
            <wp:effectExtent l="0" t="0" r="1905" b="190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71" w:rsidRPr="009B3571" w:rsidRDefault="009B3571" w:rsidP="009B3571">
      <w:pPr>
        <w:ind w:left="-1560" w:right="-567" w:firstLine="1701"/>
        <w:rPr>
          <w:rFonts w:cs="Arial"/>
          <w:b/>
          <w:sz w:val="24"/>
          <w:szCs w:val="24"/>
        </w:rPr>
      </w:pPr>
      <w:r w:rsidRPr="009B3571">
        <w:rPr>
          <w:rFonts w:cs="Arial"/>
          <w:sz w:val="24"/>
          <w:szCs w:val="24"/>
        </w:rPr>
        <w:tab/>
      </w:r>
      <w:r w:rsidRPr="009B3571">
        <w:rPr>
          <w:rFonts w:cs="Arial"/>
          <w:sz w:val="24"/>
          <w:szCs w:val="24"/>
        </w:rPr>
        <w:tab/>
      </w:r>
    </w:p>
    <w:p w:rsidR="009B3571" w:rsidRPr="009B3571" w:rsidRDefault="009B3571" w:rsidP="009B3571">
      <w:pPr>
        <w:ind w:left="-1560" w:right="-567"/>
        <w:contextualSpacing/>
        <w:jc w:val="center"/>
        <w:rPr>
          <w:rFonts w:cs="Arial"/>
          <w:b/>
          <w:sz w:val="28"/>
          <w:szCs w:val="24"/>
        </w:rPr>
      </w:pPr>
      <w:r w:rsidRPr="009B3571">
        <w:rPr>
          <w:rFonts w:cs="Arial"/>
          <w:b/>
          <w:sz w:val="28"/>
          <w:szCs w:val="24"/>
        </w:rPr>
        <w:t>АДМИНИСТРАЦИЯ  ГОРОДСКОГО ОКРУГА ЭЛЕКТРОСТАЛЬ</w:t>
      </w:r>
    </w:p>
    <w:p w:rsidR="009B3571" w:rsidRPr="009B3571" w:rsidRDefault="009B3571" w:rsidP="009B3571">
      <w:pPr>
        <w:ind w:left="-1560" w:right="-567"/>
        <w:contextualSpacing/>
        <w:jc w:val="center"/>
        <w:rPr>
          <w:rFonts w:cs="Arial"/>
          <w:b/>
          <w:sz w:val="12"/>
          <w:szCs w:val="12"/>
        </w:rPr>
      </w:pPr>
    </w:p>
    <w:p w:rsidR="009B3571" w:rsidRPr="009B3571" w:rsidRDefault="009B3571" w:rsidP="009B3571">
      <w:pPr>
        <w:ind w:left="-1560" w:right="-567"/>
        <w:contextualSpacing/>
        <w:jc w:val="center"/>
        <w:rPr>
          <w:rFonts w:cs="Arial"/>
          <w:b/>
          <w:sz w:val="28"/>
          <w:szCs w:val="24"/>
        </w:rPr>
      </w:pPr>
      <w:r w:rsidRPr="009B3571">
        <w:rPr>
          <w:rFonts w:cs="Arial"/>
          <w:b/>
          <w:sz w:val="28"/>
          <w:szCs w:val="24"/>
        </w:rPr>
        <w:t>МОСКОВСКОЙ   ОБЛАСТИ</w:t>
      </w:r>
    </w:p>
    <w:p w:rsidR="009B3571" w:rsidRPr="009B3571" w:rsidRDefault="009B3571" w:rsidP="009B3571">
      <w:pPr>
        <w:ind w:left="-1560" w:right="-567" w:firstLine="1701"/>
        <w:contextualSpacing/>
        <w:jc w:val="center"/>
        <w:rPr>
          <w:rFonts w:cs="Arial"/>
          <w:sz w:val="16"/>
          <w:szCs w:val="16"/>
        </w:rPr>
      </w:pPr>
    </w:p>
    <w:p w:rsidR="009B3571" w:rsidRPr="009B3571" w:rsidRDefault="009B3571" w:rsidP="009B3571">
      <w:pPr>
        <w:ind w:left="-1560" w:right="-567"/>
        <w:contextualSpacing/>
        <w:jc w:val="center"/>
        <w:rPr>
          <w:rFonts w:cs="Arial"/>
          <w:b/>
          <w:sz w:val="44"/>
          <w:szCs w:val="24"/>
        </w:rPr>
      </w:pPr>
      <w:r w:rsidRPr="009B3571">
        <w:rPr>
          <w:rFonts w:cs="Arial"/>
          <w:b/>
          <w:sz w:val="44"/>
          <w:szCs w:val="24"/>
        </w:rPr>
        <w:t>ПОСТАНОВЛЕНИЕ</w:t>
      </w:r>
    </w:p>
    <w:p w:rsidR="009B3571" w:rsidRPr="009B3571" w:rsidRDefault="009B3571" w:rsidP="009B3571">
      <w:pPr>
        <w:ind w:left="-1560" w:right="-567"/>
        <w:jc w:val="center"/>
        <w:rPr>
          <w:rFonts w:cs="Arial"/>
          <w:b/>
          <w:sz w:val="24"/>
          <w:szCs w:val="24"/>
        </w:rPr>
      </w:pPr>
    </w:p>
    <w:p w:rsidR="009B3571" w:rsidRPr="009B3571" w:rsidRDefault="009B3571" w:rsidP="009B3571">
      <w:pPr>
        <w:ind w:left="-1560" w:right="-567"/>
        <w:jc w:val="center"/>
        <w:outlineLvl w:val="0"/>
        <w:rPr>
          <w:rFonts w:cs="Arial"/>
          <w:sz w:val="24"/>
          <w:szCs w:val="24"/>
        </w:rPr>
      </w:pPr>
      <w:r w:rsidRPr="009B3571">
        <w:rPr>
          <w:rFonts w:cs="Arial"/>
          <w:sz w:val="24"/>
          <w:szCs w:val="24"/>
        </w:rPr>
        <w:t xml:space="preserve">  ____</w:t>
      </w:r>
      <w:r>
        <w:rPr>
          <w:rFonts w:cs="Arial"/>
          <w:sz w:val="24"/>
          <w:szCs w:val="24"/>
        </w:rPr>
        <w:t>_</w:t>
      </w:r>
      <w:r w:rsidRPr="009B3571">
        <w:rPr>
          <w:rFonts w:cs="Arial"/>
          <w:sz w:val="24"/>
          <w:szCs w:val="24"/>
        </w:rPr>
        <w:t>_____ № ______</w:t>
      </w:r>
      <w:r>
        <w:rPr>
          <w:rFonts w:cs="Arial"/>
          <w:sz w:val="24"/>
          <w:szCs w:val="24"/>
        </w:rPr>
        <w:t>__</w:t>
      </w:r>
      <w:r w:rsidRPr="009B3571">
        <w:rPr>
          <w:rFonts w:cs="Arial"/>
          <w:sz w:val="24"/>
          <w:szCs w:val="24"/>
        </w:rPr>
        <w:t>_____</w:t>
      </w:r>
    </w:p>
    <w:p w:rsidR="009B3571" w:rsidRPr="00072F8B" w:rsidRDefault="009B3571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3E392F" w:rsidP="00B43768">
      <w:pPr>
        <w:spacing w:line="240" w:lineRule="exact"/>
        <w:jc w:val="both"/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1600D8"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______№______________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931C5A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0C50F5" w:rsidTr="002053B7">
        <w:trPr>
          <w:trHeight w:val="1365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0C50F5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0C50F5" w:rsidRDefault="007E3C5B" w:rsidP="007E3C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317 175,073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98 024,674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574 808,073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179 432,674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F60731" w:rsidRPr="000C50F5" w:rsidTr="002053B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F60731" w:rsidRPr="000C50F5" w:rsidTr="000C50F5">
        <w:trPr>
          <w:trHeight w:val="63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20</w:t>
            </w:r>
            <w:r w:rsidR="00F60731" w:rsidRPr="009B3571">
              <w:rPr>
                <w:color w:val="000000"/>
                <w:sz w:val="24"/>
                <w:szCs w:val="24"/>
              </w:rPr>
              <w:t>0,00</w:t>
            </w:r>
            <w:r w:rsidR="000C50F5" w:rsidRPr="009B35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20</w:t>
            </w:r>
            <w:r w:rsidR="00F60731"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2053B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КСДДИБ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315 550,073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97 824,674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573 183,073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179 232,674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</w:t>
      </w:r>
      <w:r w:rsidRPr="004479DE">
        <w:rPr>
          <w:color w:val="auto"/>
        </w:rPr>
        <w:lastRenderedPageBreak/>
        <w:t xml:space="preserve">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муниципальной программы</w:t>
      </w:r>
    </w:p>
    <w:p w:rsidR="00FF7AF3" w:rsidRPr="009B3571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</w:t>
      </w:r>
      <w:r w:rsidR="00B745CA" w:rsidRPr="00B745CA">
        <w:rPr>
          <w:sz w:val="24"/>
          <w:szCs w:val="24"/>
        </w:rPr>
        <w:lastRenderedPageBreak/>
        <w:t>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Pr="009B3571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>6. Планируемые результаты реализации муниципальной программы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526"/>
        <w:gridCol w:w="1163"/>
        <w:gridCol w:w="1134"/>
        <w:gridCol w:w="992"/>
        <w:gridCol w:w="992"/>
        <w:gridCol w:w="987"/>
        <w:gridCol w:w="6"/>
        <w:gridCol w:w="1276"/>
      </w:tblGrid>
      <w:tr w:rsidR="00ED2134" w:rsidRPr="00DD3A1B" w:rsidTr="00C9409F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Базовое значение показателя</w:t>
            </w:r>
            <w:r w:rsidR="00931C5A">
              <w:rPr>
                <w:sz w:val="22"/>
                <w:szCs w:val="22"/>
              </w:rPr>
              <w:t xml:space="preserve"> </w:t>
            </w:r>
            <w:r w:rsidRPr="00DD3A1B">
              <w:rPr>
                <w:sz w:val="22"/>
                <w:szCs w:val="22"/>
              </w:rPr>
              <w:t xml:space="preserve">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C9409F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57192A" w:rsidRDefault="00DD3A1B" w:rsidP="00DD3A1B">
            <w:pPr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 xml:space="preserve">Подпрограмма </w:t>
            </w:r>
            <w:r w:rsidRPr="0057192A">
              <w:rPr>
                <w:b/>
                <w:sz w:val="22"/>
                <w:szCs w:val="22"/>
                <w:lang w:val="en-US"/>
              </w:rPr>
              <w:t>I</w:t>
            </w:r>
            <w:r w:rsidRPr="0057192A">
              <w:rPr>
                <w:b/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C9409F">
        <w:trPr>
          <w:trHeight w:val="3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57192A" w:rsidRDefault="007F022E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C9409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9B3571" w:rsidRDefault="008269A3" w:rsidP="00DD3A1B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C9409F">
        <w:trPr>
          <w:trHeight w:val="2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9B3571" w:rsidRDefault="00B7250A" w:rsidP="00DD3A1B">
            <w:pPr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 xml:space="preserve">Подпрограмма </w:t>
            </w:r>
            <w:r w:rsidRPr="009B3571">
              <w:rPr>
                <w:sz w:val="22"/>
                <w:szCs w:val="22"/>
                <w:lang w:val="en-US"/>
              </w:rPr>
              <w:t>II</w:t>
            </w:r>
            <w:r w:rsidR="0057192A" w:rsidRPr="009B3571">
              <w:rPr>
                <w:sz w:val="22"/>
                <w:szCs w:val="22"/>
              </w:rPr>
              <w:t xml:space="preserve"> «Дороги Подмосковья</w:t>
            </w:r>
            <w:r w:rsidRPr="009B3571">
              <w:rPr>
                <w:sz w:val="22"/>
                <w:szCs w:val="22"/>
              </w:rPr>
              <w:t>»</w:t>
            </w:r>
          </w:p>
        </w:tc>
      </w:tr>
      <w:tr w:rsidR="0000020E" w:rsidRPr="00DD3A1B" w:rsidTr="00C9409F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  <w:r w:rsidR="00C9409F">
              <w:rPr>
                <w:sz w:val="22"/>
                <w:szCs w:val="22"/>
              </w:rPr>
              <w:t>,</w:t>
            </w: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9B3571" w:rsidRDefault="0000020E" w:rsidP="00DD3A1B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BD5BBB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км/</w:t>
            </w:r>
          </w:p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тыс.кв.м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BD5BBB" w:rsidRPr="00DD3A1B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9B3571" w:rsidRDefault="00596881" w:rsidP="00C92FBC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6,637/46,46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Pr="00DD3A1B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2F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57192A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DD3A1B" w:rsidRDefault="0057192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</w:t>
            </w:r>
          </w:p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9B3571" w:rsidRDefault="0057192A" w:rsidP="007F4C4A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tabs>
                <w:tab w:val="left" w:pos="210"/>
                <w:tab w:val="center" w:pos="529"/>
              </w:tabs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9B3571" w:rsidRDefault="00ED2134" w:rsidP="00C92FBC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57192A" w:rsidRPr="0057192A" w:rsidRDefault="0057192A" w:rsidP="0057192A">
      <w:pPr>
        <w:tabs>
          <w:tab w:val="left" w:pos="1845"/>
        </w:tabs>
        <w:rPr>
          <w:sz w:val="24"/>
          <w:szCs w:val="24"/>
        </w:rPr>
      </w:pP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7. Методика расчета значений планируемых результатов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9B3571" w:rsidTr="00C50C31">
        <w:trPr>
          <w:trHeight w:val="276"/>
        </w:trPr>
        <w:tc>
          <w:tcPr>
            <w:tcW w:w="738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№</w:t>
            </w:r>
          </w:p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9B3571" w:rsidTr="00C50C31">
        <w:trPr>
          <w:trHeight w:val="28"/>
        </w:trPr>
        <w:tc>
          <w:tcPr>
            <w:tcW w:w="738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6</w:t>
            </w:r>
          </w:p>
        </w:tc>
      </w:tr>
      <w:tr w:rsidR="003676E7" w:rsidRPr="009B3571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</w:rPr>
              <w:t xml:space="preserve"> </w:t>
            </w:r>
            <w:r w:rsidR="0000020E"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9B3571" w:rsidTr="00C50C31">
        <w:trPr>
          <w:trHeight w:val="25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1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9B3571" w:rsidTr="00C50C31">
        <w:trPr>
          <w:trHeight w:val="332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2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Ср=Рдв*100%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 – процент соблюдения расписа</w:t>
            </w:r>
            <w:r w:rsidR="0000020E" w:rsidRPr="009B3571">
              <w:rPr>
                <w:sz w:val="24"/>
                <w:szCs w:val="24"/>
              </w:rPr>
              <w:t>ния на муниципальных маршрутах.</w:t>
            </w:r>
            <w:r w:rsidRPr="009B3571">
              <w:rPr>
                <w:sz w:val="24"/>
                <w:szCs w:val="24"/>
              </w:rPr>
              <w:br/>
              <w:t xml:space="preserve">Рдв (регулярность движения) – отношение </w:t>
            </w:r>
            <w:r w:rsidRPr="009B3571">
              <w:rPr>
                <w:sz w:val="24"/>
                <w:szCs w:val="24"/>
              </w:rPr>
              <w:lastRenderedPageBreak/>
              <w:t>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lastRenderedPageBreak/>
              <w:t>Региональная навигационно-информационная система Московской 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  <w:lang w:val="en-US"/>
              </w:rPr>
              <w:t xml:space="preserve"> II</w:t>
            </w:r>
            <w:r w:rsidRPr="009B3571">
              <w:rPr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км / пог.м.</w:t>
            </w:r>
          </w:p>
        </w:tc>
        <w:tc>
          <w:tcPr>
            <w:tcW w:w="5245" w:type="dxa"/>
          </w:tcPr>
          <w:p w:rsidR="003676E7" w:rsidRPr="009B3571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C9409F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409F">
              <w:rPr>
                <w:sz w:val="24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4B0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9B3571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Pr="009B3571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931C5A" w:rsidRPr="009B35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A007F" w:rsidRPr="009B3571">
              <w:rPr>
                <w:bCs/>
                <w:color w:val="000000"/>
                <w:sz w:val="24"/>
                <w:szCs w:val="24"/>
              </w:rPr>
              <w:t xml:space="preserve">Перечень мероприятий </w:t>
            </w:r>
            <w:r w:rsidRPr="009B3571">
              <w:rPr>
                <w:sz w:val="24"/>
                <w:szCs w:val="24"/>
              </w:rPr>
              <w:t xml:space="preserve">подпрограммы </w:t>
            </w:r>
            <w:r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</w:t>
            </w:r>
          </w:p>
          <w:p w:rsidR="007F4C4A" w:rsidRPr="009B3571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«Пассажирский транспорт общего пользования»</w:t>
            </w:r>
            <w:r w:rsidR="00ED6A7A" w:rsidRPr="009B3571">
              <w:rPr>
                <w:sz w:val="24"/>
                <w:szCs w:val="24"/>
              </w:rPr>
              <w:t xml:space="preserve"> </w:t>
            </w:r>
            <w:r w:rsidRPr="009B3571">
              <w:rPr>
                <w:sz w:val="24"/>
                <w:szCs w:val="24"/>
              </w:rPr>
              <w:t>на 2020-2024 годы</w:t>
            </w:r>
          </w:p>
          <w:p w:rsidR="00DA007F" w:rsidRPr="009B3571" w:rsidRDefault="00DA007F" w:rsidP="00DA00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9B3571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9B3571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9B3571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Pr="009B3571" w:rsidRDefault="001A0967" w:rsidP="001A0967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«Дороги Подмосковья» </w:t>
      </w:r>
    </w:p>
    <w:p w:rsidR="001A0967" w:rsidRPr="009B3571" w:rsidRDefault="001A0967" w:rsidP="001A0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571">
        <w:rPr>
          <w:rFonts w:ascii="Times New Roman" w:hAnsi="Times New Roman" w:cs="Times New Roman"/>
          <w:sz w:val="24"/>
          <w:szCs w:val="24"/>
        </w:rPr>
        <w:t>на 2020-2024 годы</w:t>
      </w:r>
      <w:r w:rsidR="00ED6A7A" w:rsidRPr="009B35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2188"/>
        <w:gridCol w:w="3919"/>
        <w:gridCol w:w="1457"/>
        <w:gridCol w:w="1485"/>
        <w:gridCol w:w="1536"/>
        <w:gridCol w:w="1327"/>
        <w:gridCol w:w="1145"/>
        <w:gridCol w:w="1337"/>
      </w:tblGrid>
      <w:tr w:rsidR="001A0967" w:rsidRPr="009B3571" w:rsidTr="00424E91">
        <w:trPr>
          <w:trHeight w:val="590"/>
          <w:jc w:val="center"/>
        </w:trPr>
        <w:tc>
          <w:tcPr>
            <w:tcW w:w="4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565" w:type="pct"/>
            <w:gridSpan w:val="8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24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7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24E91" w:rsidRPr="009B3571" w:rsidTr="00424E91">
        <w:trPr>
          <w:trHeight w:val="315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197 250,380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4F7F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179 432,672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574 808,069</w:t>
            </w:r>
          </w:p>
        </w:tc>
      </w:tr>
      <w:tr w:rsidR="00424E91" w:rsidRPr="009B3571" w:rsidTr="00424E91">
        <w:trPr>
          <w:trHeight w:val="77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123 825,380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98 024,672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317 175,069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257 633,000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197 225,380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179 232,672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573 183,069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123 800,380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97 824,672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315 550,069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257 633,000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</w:tr>
    </w:tbl>
    <w:p w:rsidR="001A0967" w:rsidRPr="009B3571" w:rsidRDefault="001A0967" w:rsidP="001A0967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DA007F" w:rsidRPr="009B3571" w:rsidRDefault="00DA007F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</w:p>
    <w:p w:rsidR="00DA007F" w:rsidRPr="009B3571" w:rsidRDefault="00DA007F" w:rsidP="00DA007F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DA007F">
      <w:pPr>
        <w:ind w:firstLine="709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</w:p>
    <w:p w:rsidR="00DA007F" w:rsidRPr="009B3571" w:rsidRDefault="00DA007F" w:rsidP="002F3CF1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094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72"/>
        <w:gridCol w:w="1458"/>
        <w:gridCol w:w="1179"/>
        <w:gridCol w:w="1702"/>
        <w:gridCol w:w="1326"/>
        <w:gridCol w:w="1239"/>
        <w:gridCol w:w="1358"/>
        <w:gridCol w:w="1211"/>
        <w:gridCol w:w="1317"/>
        <w:gridCol w:w="1204"/>
        <w:gridCol w:w="1029"/>
        <w:gridCol w:w="1057"/>
        <w:gridCol w:w="989"/>
      </w:tblGrid>
      <w:tr w:rsidR="00113B8A" w:rsidRPr="009B3571" w:rsidTr="005675F9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3955D1" w:rsidRPr="009B3571">
              <w:rPr>
                <w:bCs/>
                <w:color w:val="000000"/>
                <w:sz w:val="18"/>
                <w:szCs w:val="18"/>
              </w:rPr>
              <w:t>.</w:t>
            </w:r>
            <w:r w:rsidRPr="009B3571">
              <w:rPr>
                <w:bCs/>
                <w:color w:val="000000"/>
                <w:sz w:val="18"/>
                <w:szCs w:val="18"/>
              </w:rPr>
              <w:t xml:space="preserve"> Перечень мероприятий подпрограммы II</w:t>
            </w:r>
          </w:p>
        </w:tc>
      </w:tr>
      <w:tr w:rsidR="005675F9" w:rsidRPr="009B3571" w:rsidTr="005675F9">
        <w:trPr>
          <w:trHeight w:val="28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Pr="009B3571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31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№</w:t>
            </w:r>
            <w:r w:rsidRPr="009B3571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Мероприятия по реализации муниципальной 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 w:rsidP="00BD50DD">
            <w:pPr>
              <w:ind w:right="-36"/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Результат выполнения мероприятия</w:t>
            </w:r>
          </w:p>
        </w:tc>
      </w:tr>
      <w:tr w:rsidR="005675F9" w:rsidRPr="009B3571" w:rsidTr="005675F9">
        <w:trPr>
          <w:trHeight w:val="12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Всего</w:t>
            </w:r>
            <w:r w:rsidRPr="009B3571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2020</w:t>
            </w:r>
            <w:r w:rsidRPr="009B3571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2021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2022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2023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2024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744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382 119,17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574 808,069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179 432,672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 </w:t>
            </w:r>
          </w:p>
        </w:tc>
      </w:tr>
      <w:tr w:rsidR="005675F9" w:rsidRPr="009B3571" w:rsidTr="005675F9">
        <w:trPr>
          <w:trHeight w:val="112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180 508,17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317 175,069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98 024,672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96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201 611,00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718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77 490,00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257 202,951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85 832,951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55 244,000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Капитальный ремонт автомобильных дорог местного значения</w:t>
            </w:r>
          </w:p>
        </w:tc>
      </w:tr>
      <w:tr w:rsidR="005675F9" w:rsidRPr="009B3571" w:rsidTr="005675F9">
        <w:trPr>
          <w:trHeight w:val="126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3 875,00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12 994,951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4 424,951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2 763,000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CC2D8A">
        <w:trPr>
          <w:trHeight w:val="122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73 615,00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244 208,000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CC2D8A">
        <w:trPr>
          <w:trHeight w:val="108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05.03 Софинансирование 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C92FBC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129 289,00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Капитальный ремонт автомобильных дорог к СНТ Горелый лес</w:t>
            </w:r>
          </w:p>
        </w:tc>
      </w:tr>
      <w:tr w:rsidR="0057192A" w:rsidRPr="009B3571" w:rsidTr="00CC2D8A">
        <w:trPr>
          <w:trHeight w:val="139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1 293,00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9B3571" w:rsidTr="00CC2D8A">
        <w:trPr>
          <w:trHeight w:val="9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127 996,00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9B3571" w:rsidTr="00CC2D8A">
        <w:trPr>
          <w:trHeight w:val="7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92A" w:rsidRPr="009B3571" w:rsidRDefault="0057192A" w:rsidP="005E245A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E10B88" w:rsidP="00144F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269</w:t>
            </w:r>
            <w:r w:rsidR="00144FCE" w:rsidRPr="009B3571">
              <w:rPr>
                <w:bCs/>
                <w:color w:val="000000"/>
                <w:sz w:val="18"/>
                <w:szCs w:val="18"/>
              </w:rPr>
              <w:t> 037,473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144FCE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77 0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МБУ "Благоустройство", КИО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Содержание автомобильных дорог,</w:t>
            </w:r>
            <w:r w:rsidR="009B3571">
              <w:rPr>
                <w:color w:val="000000"/>
                <w:sz w:val="18"/>
                <w:szCs w:val="18"/>
              </w:rPr>
              <w:t xml:space="preserve"> </w:t>
            </w:r>
            <w:r w:rsidRPr="009B3571">
              <w:rPr>
                <w:color w:val="000000"/>
                <w:sz w:val="18"/>
                <w:szCs w:val="18"/>
              </w:rPr>
              <w:t>устранение деформация, оформление бесхозных дорог, стройконтроль</w:t>
            </w:r>
          </w:p>
        </w:tc>
      </w:tr>
      <w:tr w:rsidR="00E10B88" w:rsidRPr="009B3571" w:rsidTr="005675F9">
        <w:trPr>
          <w:trHeight w:val="110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144FCE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269 0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144FCE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77 0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9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73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33 4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43,339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032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16 </w:t>
            </w:r>
            <w:r w:rsidR="0070329D" w:rsidRPr="009B3571">
              <w:rPr>
                <w:bCs/>
                <w:color w:val="000000"/>
                <w:sz w:val="18"/>
                <w:szCs w:val="18"/>
              </w:rPr>
              <w:t>5</w:t>
            </w:r>
            <w:r w:rsidRPr="009B3571">
              <w:rPr>
                <w:bCs/>
                <w:color w:val="000000"/>
                <w:sz w:val="18"/>
                <w:szCs w:val="18"/>
              </w:rPr>
              <w:t>84,864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 xml:space="preserve">Пробы грунта на снегосвалках, Содержание светофоров, покупка </w:t>
            </w:r>
            <w:r w:rsidRPr="009B3571">
              <w:rPr>
                <w:color w:val="000000"/>
                <w:sz w:val="18"/>
                <w:szCs w:val="18"/>
              </w:rPr>
              <w:lastRenderedPageBreak/>
              <w:t>ограждений, знаков</w:t>
            </w:r>
          </w:p>
        </w:tc>
      </w:tr>
      <w:tr w:rsidR="00E10B88" w:rsidRPr="009B3571" w:rsidTr="005675F9">
        <w:trPr>
          <w:trHeight w:val="127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33 4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43,339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032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16</w:t>
            </w:r>
            <w:r w:rsidR="0070329D" w:rsidRPr="009B3571">
              <w:rPr>
                <w:bCs/>
                <w:color w:val="000000"/>
                <w:sz w:val="18"/>
                <w:szCs w:val="18"/>
              </w:rPr>
              <w:t xml:space="preserve"> 5</w:t>
            </w:r>
            <w:r w:rsidRPr="009B3571">
              <w:rPr>
                <w:bCs/>
                <w:color w:val="000000"/>
                <w:sz w:val="18"/>
                <w:szCs w:val="18"/>
              </w:rPr>
              <w:t>84,864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08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368"/>
        </w:trPr>
        <w:tc>
          <w:tcPr>
            <w:tcW w:w="10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9B3571">
              <w:rPr>
                <w:bCs/>
                <w:i/>
                <w:i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180 508,170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317 175,069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98 024,672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0B88" w:rsidRPr="009B3571" w:rsidTr="005675F9">
        <w:trPr>
          <w:trHeight w:val="939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9B3571" w:rsidRDefault="00E10B88" w:rsidP="005E245A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73 615,000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068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9B3571" w:rsidRDefault="00E10B88" w:rsidP="005E245A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254 123,170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574 808,069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AA34B0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179 432,672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B678A9" w:rsidRPr="009B3571" w:rsidRDefault="00B678A9" w:rsidP="005F0EB2">
      <w:pPr>
        <w:jc w:val="right"/>
        <w:rPr>
          <w:sz w:val="24"/>
          <w:szCs w:val="24"/>
        </w:rPr>
      </w:pPr>
    </w:p>
    <w:p w:rsidR="009E1AE3" w:rsidRPr="009B3571" w:rsidRDefault="009E1AE3" w:rsidP="005F0EB2">
      <w:pPr>
        <w:jc w:val="right"/>
        <w:rPr>
          <w:sz w:val="24"/>
          <w:szCs w:val="24"/>
        </w:rPr>
      </w:pPr>
    </w:p>
    <w:p w:rsidR="00B678A9" w:rsidRPr="009B3571" w:rsidRDefault="00B678A9" w:rsidP="00B678A9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ВЕРНО:</w:t>
      </w:r>
    </w:p>
    <w:p w:rsidR="00B678A9" w:rsidRDefault="00B678A9" w:rsidP="00B678A9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Председатель Комитета</w:t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="005675F9" w:rsidRPr="009B357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ab/>
      </w:r>
      <w:r w:rsidR="00931C5A">
        <w:rPr>
          <w:sz w:val="24"/>
          <w:szCs w:val="24"/>
        </w:rPr>
        <w:t xml:space="preserve"> </w:t>
      </w:r>
      <w:r>
        <w:rPr>
          <w:sz w:val="24"/>
          <w:szCs w:val="24"/>
        </w:rPr>
        <w:t>А. Э. Зайцев</w:t>
      </w:r>
    </w:p>
    <w:sectPr w:rsidR="00B678A9" w:rsidSect="00ED6A7A">
      <w:pgSz w:w="16838" w:h="11906" w:orient="landscape" w:code="9"/>
      <w:pgMar w:top="1701" w:right="851" w:bottom="709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3E" w:rsidRDefault="0009003E">
      <w:r>
        <w:separator/>
      </w:r>
    </w:p>
  </w:endnote>
  <w:endnote w:type="continuationSeparator" w:id="0">
    <w:p w:rsidR="0009003E" w:rsidRDefault="000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FB4C05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00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0C5">
      <w:rPr>
        <w:rStyle w:val="a6"/>
        <w:noProof/>
      </w:rPr>
      <w:t>2</w:t>
    </w:r>
    <w:r>
      <w:rPr>
        <w:rStyle w:val="a6"/>
      </w:rPr>
      <w:fldChar w:fldCharType="end"/>
    </w:r>
  </w:p>
  <w:p w:rsidR="003700C5" w:rsidRDefault="003700C5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3700C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3E" w:rsidRDefault="0009003E">
      <w:r>
        <w:separator/>
      </w:r>
    </w:p>
  </w:footnote>
  <w:footnote w:type="continuationSeparator" w:id="0">
    <w:p w:rsidR="0009003E" w:rsidRDefault="0009003E">
      <w:r>
        <w:continuationSeparator/>
      </w:r>
    </w:p>
  </w:footnote>
  <w:footnote w:id="1">
    <w:p w:rsidR="003700C5" w:rsidRPr="0037091E" w:rsidRDefault="003700C5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FB4C05">
    <w:pPr>
      <w:pStyle w:val="a9"/>
      <w:jc w:val="center"/>
    </w:pPr>
    <w:r>
      <w:rPr>
        <w:noProof/>
      </w:rPr>
      <w:fldChar w:fldCharType="begin"/>
    </w:r>
    <w:r w:rsidR="003700C5">
      <w:rPr>
        <w:noProof/>
      </w:rPr>
      <w:instrText xml:space="preserve"> PAGE   \* MERGEFORMAT </w:instrText>
    </w:r>
    <w:r>
      <w:rPr>
        <w:noProof/>
      </w:rPr>
      <w:fldChar w:fldCharType="separate"/>
    </w:r>
    <w:r w:rsidR="003E392F">
      <w:rPr>
        <w:noProof/>
      </w:rPr>
      <w:t>20</w:t>
    </w:r>
    <w:r>
      <w:rPr>
        <w:noProof/>
      </w:rPr>
      <w:fldChar w:fldCharType="end"/>
    </w:r>
  </w:p>
  <w:p w:rsidR="003700C5" w:rsidRDefault="003700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03E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2597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368F"/>
    <w:rsid w:val="001D0DBB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30FDE"/>
    <w:rsid w:val="00231E12"/>
    <w:rsid w:val="00233254"/>
    <w:rsid w:val="002336BC"/>
    <w:rsid w:val="00241119"/>
    <w:rsid w:val="002411B2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1549"/>
    <w:rsid w:val="003A21AC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392F"/>
    <w:rsid w:val="003E4ECD"/>
    <w:rsid w:val="003F01C3"/>
    <w:rsid w:val="003F1375"/>
    <w:rsid w:val="003F39C5"/>
    <w:rsid w:val="00401859"/>
    <w:rsid w:val="00402DF9"/>
    <w:rsid w:val="004045C4"/>
    <w:rsid w:val="0041239D"/>
    <w:rsid w:val="004126DD"/>
    <w:rsid w:val="004168C6"/>
    <w:rsid w:val="00421CB3"/>
    <w:rsid w:val="00422C57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413D"/>
    <w:rsid w:val="0063433D"/>
    <w:rsid w:val="006345BD"/>
    <w:rsid w:val="00635897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6F9D"/>
    <w:rsid w:val="00697C13"/>
    <w:rsid w:val="006A05AC"/>
    <w:rsid w:val="006A107B"/>
    <w:rsid w:val="006A1BED"/>
    <w:rsid w:val="006A4094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8F2"/>
    <w:rsid w:val="00880377"/>
    <w:rsid w:val="00885212"/>
    <w:rsid w:val="0088557F"/>
    <w:rsid w:val="0088563A"/>
    <w:rsid w:val="00885F71"/>
    <w:rsid w:val="00886766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EA4"/>
    <w:rsid w:val="00985253"/>
    <w:rsid w:val="00985702"/>
    <w:rsid w:val="0098666B"/>
    <w:rsid w:val="00986905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57D73"/>
    <w:rsid w:val="00C6223B"/>
    <w:rsid w:val="00C635B1"/>
    <w:rsid w:val="00C647EA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90739"/>
    <w:rsid w:val="00C92FBC"/>
    <w:rsid w:val="00C9409F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30448"/>
    <w:rsid w:val="00E30B9C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E10C8C-2E9D-42C8-A92D-2052C17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E19A-1311-4BFF-BD49-4067835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41933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Мария Можина</cp:lastModifiedBy>
  <cp:revision>7</cp:revision>
  <cp:lastPrinted>2021-03-09T07:56:00Z</cp:lastPrinted>
  <dcterms:created xsi:type="dcterms:W3CDTF">2021-03-15T11:21:00Z</dcterms:created>
  <dcterms:modified xsi:type="dcterms:W3CDTF">2021-05-18T13:44:00Z</dcterms:modified>
</cp:coreProperties>
</file>