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80729D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2145BD" w:rsidRDefault="002145BD" w:rsidP="002145BD">
      <w:pPr>
        <w:ind w:right="4251"/>
      </w:pPr>
      <w:bookmarkStart w:id="0" w:name="_GoBack"/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области, утверждённое </w:t>
      </w:r>
      <w:r w:rsidR="00265AE0">
        <w:t>р</w:t>
      </w:r>
      <w:r>
        <w:t xml:space="preserve">ешением Совета депутатов городского округа Электросталь Московской области </w:t>
      </w:r>
    </w:p>
    <w:p w:rsidR="002145BD" w:rsidRDefault="002145BD" w:rsidP="002145BD">
      <w:pPr>
        <w:ind w:right="4251"/>
      </w:pPr>
      <w:r>
        <w:t>от 21.10.2021 №</w:t>
      </w:r>
      <w:r w:rsidR="0080729D">
        <w:t xml:space="preserve"> </w:t>
      </w:r>
      <w:r>
        <w:t>89/19</w:t>
      </w:r>
      <w:bookmarkEnd w:id="0"/>
    </w:p>
    <w:p w:rsidR="002145BD" w:rsidRDefault="002145BD" w:rsidP="002145BD">
      <w:pPr>
        <w:ind w:right="4251"/>
        <w:jc w:val="both"/>
      </w:pPr>
    </w:p>
    <w:p w:rsidR="002145BD" w:rsidRDefault="002145BD" w:rsidP="002145BD">
      <w:pPr>
        <w:ind w:right="4251"/>
        <w:jc w:val="both"/>
      </w:pPr>
    </w:p>
    <w:p w:rsidR="002145BD" w:rsidRPr="006C29FB" w:rsidRDefault="002145BD" w:rsidP="0080729D">
      <w:pPr>
        <w:ind w:firstLine="709"/>
        <w:jc w:val="both"/>
      </w:pPr>
      <w:r>
        <w:t xml:space="preserve">На основании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</w:t>
      </w:r>
      <w:r w:rsidRPr="00DE1B6D">
        <w:t>Федеральн</w:t>
      </w:r>
      <w:r>
        <w:t>ого</w:t>
      </w:r>
      <w:r w:rsidRPr="00DE1B6D">
        <w:t xml:space="preserve"> закон</w:t>
      </w:r>
      <w:r>
        <w:t>а</w:t>
      </w:r>
      <w:r w:rsidRPr="00DE1B6D">
        <w:t xml:space="preserve"> 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>
        <w:t xml:space="preserve"> Приказа Минстроя России от 23.12.2021 №990/</w:t>
      </w:r>
      <w:proofErr w:type="spellStart"/>
      <w:r>
        <w:t>пр</w:t>
      </w:r>
      <w:proofErr w:type="spellEnd"/>
      <w: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</w:t>
      </w:r>
      <w:r w:rsidRPr="001D0CE9">
        <w:t>,</w:t>
      </w:r>
      <w:r>
        <w:t xml:space="preserve"> Решения Совета депутатов городского округа</w:t>
      </w:r>
      <w:r w:rsidR="00DA0F8F">
        <w:t xml:space="preserve"> Электросталь</w:t>
      </w:r>
      <w:r>
        <w:t xml:space="preserve"> Московской области от 2</w:t>
      </w:r>
      <w:r w:rsidR="00DA0F8F">
        <w:t>1</w:t>
      </w:r>
      <w:r>
        <w:t>.10.2021 №</w:t>
      </w:r>
      <w:r w:rsidR="00DA0F8F">
        <w:t>89/19</w:t>
      </w:r>
      <w:r>
        <w:t xml:space="preserve"> «Об утверждении Положения о муниципальном жилищном контроле на территории городского округа </w:t>
      </w:r>
      <w:r w:rsidR="00DA0F8F">
        <w:t xml:space="preserve">Электросталь </w:t>
      </w:r>
      <w:r>
        <w:t>Московской области», Устава городск</w:t>
      </w:r>
      <w:r w:rsidR="00DA0F8F">
        <w:t>ого</w:t>
      </w:r>
      <w:r>
        <w:t xml:space="preserve"> округ</w:t>
      </w:r>
      <w:r w:rsidR="00DA0F8F">
        <w:t xml:space="preserve">у Электросталь </w:t>
      </w:r>
      <w:r w:rsidRPr="006C29FB">
        <w:t>Московской области</w:t>
      </w:r>
      <w:r>
        <w:t>, с учетом письма Главного управления Московской области «Государственная жилищная инспекция Московской области» от 21.01.2022 №08Исх-812/Ш</w:t>
      </w:r>
      <w:r w:rsidR="00DA0F8F">
        <w:t xml:space="preserve">, </w:t>
      </w:r>
      <w:r w:rsidRPr="004A78A1">
        <w:t>Совет депутатов  городского округа</w:t>
      </w:r>
      <w:r w:rsidR="00DA0F8F">
        <w:t xml:space="preserve"> Электросталь Московской области</w:t>
      </w:r>
      <w:r>
        <w:t xml:space="preserve"> </w:t>
      </w:r>
      <w:r w:rsidR="00DA0F8F">
        <w:t>РЕШИЛ</w:t>
      </w:r>
      <w:r>
        <w:t>:</w:t>
      </w: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Решением Совета депутатов городского округа </w:t>
      </w:r>
      <w:r w:rsidR="00DA0F8F">
        <w:t xml:space="preserve">Электросталь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(далее – Положение), следующие изменения: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1.1. Пункт 6.</w:t>
      </w:r>
      <w:r w:rsidR="00DA0F8F">
        <w:t>4</w:t>
      </w:r>
      <w:r>
        <w:t>. Положения изложить в следующей редакции: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«6.</w:t>
      </w:r>
      <w:r w:rsidR="00873564" w:rsidRPr="00E94D2C">
        <w:t>4</w:t>
      </w:r>
      <w:r>
        <w:t>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</w:t>
      </w:r>
      <w:r>
        <w:tab/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>
        <w:lastRenderedPageBreak/>
        <w:t>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</w:t>
      </w:r>
      <w: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 xml:space="preserve">1.2. Дополнить Положение разделом </w:t>
      </w:r>
      <w:r w:rsidR="00E94D2C" w:rsidRPr="00E94D2C">
        <w:t>8</w:t>
      </w:r>
      <w:r>
        <w:t xml:space="preserve"> «Ключевые и индикативные показатели муниципального жилищного контроля» следующего содержания:</w:t>
      </w:r>
    </w:p>
    <w:p w:rsidR="002145BD" w:rsidRDefault="002145BD" w:rsidP="002145BD">
      <w:pPr>
        <w:tabs>
          <w:tab w:val="left" w:pos="1134"/>
        </w:tabs>
        <w:ind w:right="-5" w:firstLine="709"/>
        <w:jc w:val="center"/>
      </w:pPr>
      <w:r>
        <w:t>«Перечень ключевых показателей муниципального жилищного контроля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2145BD" w:rsidTr="007C5220">
        <w:tc>
          <w:tcPr>
            <w:tcW w:w="67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2145BD" w:rsidTr="007C5220">
        <w:tc>
          <w:tcPr>
            <w:tcW w:w="67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</w:pPr>
            <w: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152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  <w:tr w:rsidR="002145BD" w:rsidTr="007C5220">
        <w:tc>
          <w:tcPr>
            <w:tcW w:w="67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2.</w:t>
            </w:r>
          </w:p>
        </w:tc>
        <w:tc>
          <w:tcPr>
            <w:tcW w:w="6804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</w:pPr>
            <w: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525" w:type="dxa"/>
            <w:shd w:val="clear" w:color="auto" w:fill="auto"/>
          </w:tcPr>
          <w:p w:rsidR="002145BD" w:rsidRDefault="002145BD" w:rsidP="007C5220">
            <w:pPr>
              <w:tabs>
                <w:tab w:val="left" w:pos="1134"/>
              </w:tabs>
              <w:ind w:right="-5"/>
              <w:jc w:val="center"/>
            </w:pPr>
            <w:r>
              <w:t>0%</w:t>
            </w:r>
          </w:p>
        </w:tc>
      </w:tr>
    </w:tbl>
    <w:p w:rsidR="002145BD" w:rsidRDefault="002145BD" w:rsidP="002145BD">
      <w:pPr>
        <w:tabs>
          <w:tab w:val="left" w:pos="1134"/>
        </w:tabs>
        <w:ind w:right="-5" w:firstLine="709"/>
        <w:jc w:val="center"/>
      </w:pPr>
    </w:p>
    <w:p w:rsidR="002145BD" w:rsidRDefault="002145BD" w:rsidP="002145BD">
      <w:pPr>
        <w:tabs>
          <w:tab w:val="left" w:pos="1134"/>
        </w:tabs>
        <w:ind w:right="-5" w:firstLine="709"/>
        <w:jc w:val="center"/>
      </w:pPr>
      <w:r>
        <w:t>Перечень индикативных показателей муниципального жилищного контроля</w:t>
      </w:r>
    </w:p>
    <w:p w:rsidR="002145BD" w:rsidRDefault="002145BD" w:rsidP="002145BD">
      <w:pPr>
        <w:tabs>
          <w:tab w:val="left" w:pos="1134"/>
        </w:tabs>
        <w:ind w:right="-5" w:firstLine="709"/>
        <w:jc w:val="center"/>
      </w:pP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C245AE" w:rsidRDefault="002145BD" w:rsidP="002145BD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</w:t>
      </w:r>
      <w:r w:rsidR="00C245AE" w:rsidRPr="00C245AE">
        <w:t xml:space="preserve"> </w:t>
      </w:r>
      <w:r w:rsidR="00C245AE">
        <w:rPr>
          <w:lang w:val="en-US"/>
        </w:rPr>
        <w:t>c</w:t>
      </w:r>
      <w:r w:rsidR="00C245AE">
        <w:t xml:space="preserve"> взаимодействием по каждому виду контрольного мероприятия</w:t>
      </w:r>
      <w:r>
        <w:t xml:space="preserve">, проведенных </w:t>
      </w:r>
      <w:r w:rsidR="00C245AE">
        <w:t>за отчетный период;</w:t>
      </w:r>
    </w:p>
    <w:p w:rsidR="002145BD" w:rsidRDefault="00C245AE" w:rsidP="002145BD">
      <w:pPr>
        <w:tabs>
          <w:tab w:val="left" w:pos="1134"/>
        </w:tabs>
        <w:ind w:right="-5" w:firstLine="709"/>
        <w:jc w:val="both"/>
      </w:pPr>
      <w:r>
        <w:t xml:space="preserve">6) количество контрольных мероприятий, проведенных </w:t>
      </w:r>
      <w:r w:rsidR="002145BD">
        <w:t>с использованием средств дистанционного взаимодействия, за отчетный период;</w:t>
      </w:r>
    </w:p>
    <w:p w:rsidR="002145BD" w:rsidRDefault="00C245AE" w:rsidP="002145BD">
      <w:pPr>
        <w:tabs>
          <w:tab w:val="left" w:pos="1134"/>
        </w:tabs>
        <w:ind w:right="-5" w:firstLine="709"/>
        <w:jc w:val="both"/>
      </w:pPr>
      <w:r>
        <w:t>7</w:t>
      </w:r>
      <w:r w:rsidR="002145BD">
        <w:t>) количество обязательных профилактических визитов, проведенных за отчетный период;</w:t>
      </w:r>
    </w:p>
    <w:p w:rsidR="002145BD" w:rsidRDefault="00C245AE" w:rsidP="002145BD">
      <w:pPr>
        <w:tabs>
          <w:tab w:val="left" w:pos="1134"/>
        </w:tabs>
        <w:ind w:right="-5" w:firstLine="709"/>
        <w:jc w:val="both"/>
      </w:pPr>
      <w:r>
        <w:t>8</w:t>
      </w:r>
      <w:r w:rsidR="002145BD">
        <w:t>) количество предостережений о недопустимости нарушения обязательных требований, объявленных за отчетный период;</w:t>
      </w:r>
    </w:p>
    <w:p w:rsidR="002145BD" w:rsidRDefault="00C245AE" w:rsidP="002145BD">
      <w:pPr>
        <w:tabs>
          <w:tab w:val="left" w:pos="1134"/>
        </w:tabs>
        <w:ind w:right="-5" w:firstLine="709"/>
        <w:jc w:val="both"/>
      </w:pPr>
      <w:r>
        <w:t>9</w:t>
      </w:r>
      <w:r w:rsidR="002145BD"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145BD" w:rsidRDefault="00C245AE" w:rsidP="002145BD">
      <w:pPr>
        <w:tabs>
          <w:tab w:val="left" w:pos="1134"/>
        </w:tabs>
        <w:ind w:right="-5" w:firstLine="709"/>
        <w:jc w:val="both"/>
      </w:pPr>
      <w:r>
        <w:t>10</w:t>
      </w:r>
      <w:r w:rsidR="002145BD"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lastRenderedPageBreak/>
        <w:t>1</w:t>
      </w:r>
      <w:r w:rsidR="00C245AE">
        <w:t>1</w:t>
      </w:r>
      <w: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C245AE">
        <w:t>2</w:t>
      </w:r>
      <w:r>
        <w:t>) общее количество учтенных объектов контроля на конец отчетного периода;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C245AE">
        <w:t>3</w:t>
      </w:r>
      <w:r>
        <w:t>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C245AE">
        <w:t>4</w:t>
      </w:r>
      <w:r>
        <w:t>) количество учтенных контролируемых лиц на конец отчетного периода;</w:t>
      </w:r>
    </w:p>
    <w:p w:rsidR="00430DD0" w:rsidRDefault="00430DD0" w:rsidP="002145BD">
      <w:pPr>
        <w:tabs>
          <w:tab w:val="left" w:pos="1134"/>
        </w:tabs>
        <w:ind w:right="-5" w:firstLine="709"/>
        <w:jc w:val="both"/>
      </w:pPr>
      <w: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430DD0">
        <w:t>6</w:t>
      </w:r>
      <w: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430DD0">
        <w:t>7</w:t>
      </w:r>
      <w:r>
        <w:t>) общее количество жалоб, поданных контролируемыми лицами в досудебном порядке за отчетный период;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</w:t>
      </w:r>
      <w:r w:rsidR="00430DD0">
        <w:t>8</w:t>
      </w:r>
      <w:r>
        <w:t>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2145BD" w:rsidRDefault="00430DD0" w:rsidP="002145BD">
      <w:pPr>
        <w:tabs>
          <w:tab w:val="left" w:pos="1134"/>
        </w:tabs>
        <w:ind w:right="-5" w:firstLine="709"/>
        <w:jc w:val="both"/>
      </w:pPr>
      <w:r>
        <w:t>19</w:t>
      </w:r>
      <w:r w:rsidR="002145BD">
        <w:t xml:space="preserve"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жилищного </w:t>
      </w:r>
      <w:proofErr w:type="gramStart"/>
      <w:r w:rsidR="002145BD">
        <w:t>контроля</w:t>
      </w:r>
      <w:proofErr w:type="gramEnd"/>
      <w:r w:rsidR="002145BD">
        <w:t xml:space="preserve"> либо о признании действий (бездействий) должностных лиц контрольного органа недействительными, за отчетный период;</w:t>
      </w:r>
    </w:p>
    <w:p w:rsidR="002145BD" w:rsidRDefault="00430DD0" w:rsidP="002145BD">
      <w:pPr>
        <w:tabs>
          <w:tab w:val="left" w:pos="1134"/>
        </w:tabs>
        <w:ind w:right="-5" w:firstLine="709"/>
        <w:jc w:val="both"/>
      </w:pPr>
      <w:r>
        <w:t>20</w:t>
      </w:r>
      <w:r w:rsidR="002145BD">
        <w:t>) количество исковых заявлений об оспаривании решений, действий (бездействий) должностных лиц органа муниципального жилищного контроля</w:t>
      </w:r>
      <w:r>
        <w:t>, направленных контролируемыми лицами в судебном порядке, за отчетный период</w:t>
      </w:r>
      <w:r w:rsidR="002145BD">
        <w:t>;</w:t>
      </w:r>
    </w:p>
    <w:p w:rsidR="002145BD" w:rsidRDefault="00430DD0" w:rsidP="002145BD">
      <w:pPr>
        <w:tabs>
          <w:tab w:val="left" w:pos="1134"/>
        </w:tabs>
        <w:ind w:right="-5" w:firstLine="709"/>
        <w:jc w:val="both"/>
      </w:pPr>
      <w:r>
        <w:t>21</w:t>
      </w:r>
      <w:r w:rsidR="002145BD">
        <w:t>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>Настоящее решение вступает в силу со дня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80729D" w:rsidRDefault="0080729D" w:rsidP="000B4544">
      <w:pPr>
        <w:autoSpaceDE w:val="0"/>
        <w:autoSpaceDN w:val="0"/>
        <w:adjustRightInd w:val="0"/>
        <w:spacing w:line="240" w:lineRule="exact"/>
      </w:pPr>
    </w:p>
    <w:p w:rsidR="0080729D" w:rsidRDefault="0080729D" w:rsidP="000B4544">
      <w:pPr>
        <w:autoSpaceDE w:val="0"/>
        <w:autoSpaceDN w:val="0"/>
        <w:adjustRightInd w:val="0"/>
        <w:spacing w:line="240" w:lineRule="exact"/>
      </w:pPr>
    </w:p>
    <w:p w:rsidR="0080729D" w:rsidRPr="000B4544" w:rsidRDefault="0080729D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</w:t>
      </w:r>
      <w:r w:rsidR="0080729D">
        <w:t xml:space="preserve"> </w:t>
      </w:r>
      <w:r w:rsidRPr="000B4544">
        <w:t xml:space="preserve">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 xml:space="preserve">Глава городского округа                                                          </w:t>
      </w:r>
      <w:r w:rsidR="0080729D">
        <w:t xml:space="preserve">                               </w:t>
      </w:r>
      <w:r w:rsidRPr="000B4544">
        <w:t>И.Ю.</w:t>
      </w:r>
      <w:r w:rsidR="0080729D">
        <w:t xml:space="preserve"> </w:t>
      </w:r>
      <w:r w:rsidRPr="000B4544">
        <w:t>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sectPr w:rsidR="000B4544" w:rsidRPr="000B4544" w:rsidSect="008072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B4544"/>
    <w:rsid w:val="001245A2"/>
    <w:rsid w:val="002145BD"/>
    <w:rsid w:val="00265AE0"/>
    <w:rsid w:val="002D6702"/>
    <w:rsid w:val="00386124"/>
    <w:rsid w:val="00430DD0"/>
    <w:rsid w:val="004A6EBB"/>
    <w:rsid w:val="004B088D"/>
    <w:rsid w:val="004F3CE4"/>
    <w:rsid w:val="00637F73"/>
    <w:rsid w:val="006F732E"/>
    <w:rsid w:val="00740E04"/>
    <w:rsid w:val="0080729D"/>
    <w:rsid w:val="00873564"/>
    <w:rsid w:val="00A93E7F"/>
    <w:rsid w:val="00B23FC3"/>
    <w:rsid w:val="00C245AE"/>
    <w:rsid w:val="00CD10B4"/>
    <w:rsid w:val="00CF381F"/>
    <w:rsid w:val="00DA0F8F"/>
    <w:rsid w:val="00E94D2C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16</cp:revision>
  <cp:lastPrinted>2022-01-28T09:12:00Z</cp:lastPrinted>
  <dcterms:created xsi:type="dcterms:W3CDTF">2012-10-02T08:45:00Z</dcterms:created>
  <dcterms:modified xsi:type="dcterms:W3CDTF">2022-01-28T13:13:00Z</dcterms:modified>
</cp:coreProperties>
</file>